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3ECCFD" w14:textId="77777777" w:rsidR="006D093D" w:rsidRPr="005F729A" w:rsidRDefault="006D093D" w:rsidP="005F729A">
      <w:pPr>
        <w:tabs>
          <w:tab w:val="left" w:pos="993"/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729A">
        <w:rPr>
          <w:rFonts w:ascii="Times New Roman" w:hAnsi="Times New Roman" w:cs="Times New Roman"/>
          <w:b/>
          <w:bCs/>
          <w:sz w:val="28"/>
          <w:szCs w:val="28"/>
        </w:rPr>
        <w:t>УДК: 336.71:343.37</w:t>
      </w:r>
    </w:p>
    <w:p w14:paraId="364ADFE6" w14:textId="187F3A43" w:rsidR="006D093D" w:rsidRDefault="006D093D" w:rsidP="005F729A">
      <w:pPr>
        <w:tabs>
          <w:tab w:val="left" w:pos="993"/>
          <w:tab w:val="left" w:pos="1276"/>
        </w:tabs>
        <w:ind w:firstLine="709"/>
        <w:jc w:val="both"/>
        <w:rPr>
          <w:rFonts w:ascii="Times New Roman" w:hAnsi="Times New Roman" w:cs="Times New Roman"/>
          <w:b/>
          <w:bCs/>
          <w:caps/>
          <w:sz w:val="28"/>
          <w:szCs w:val="28"/>
        </w:rPr>
      </w:pPr>
      <w:r w:rsidRPr="00911D61">
        <w:rPr>
          <w:rFonts w:ascii="Times New Roman" w:hAnsi="Times New Roman" w:cs="Times New Roman"/>
          <w:b/>
          <w:bCs/>
          <w:caps/>
          <w:sz w:val="28"/>
          <w:szCs w:val="28"/>
        </w:rPr>
        <w:t>Нормативно-правовая оценка угроз экономической безопасности кредитных организаций: Роль Центрального банка Российской Федерации в условиях межведомственного взаимодействия и регулятивной адаптации</w:t>
      </w:r>
    </w:p>
    <w:p w14:paraId="63EACC84" w14:textId="0E5F69C9" w:rsidR="00911D61" w:rsidRPr="00911D61" w:rsidRDefault="00911D61" w:rsidP="005F729A">
      <w:pPr>
        <w:tabs>
          <w:tab w:val="left" w:pos="993"/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Мадатов Олег Яковлевич</w:t>
      </w:r>
    </w:p>
    <w:p w14:paraId="717C5A29" w14:textId="77777777" w:rsidR="006D093D" w:rsidRPr="005F729A" w:rsidRDefault="006D093D" w:rsidP="005F729A">
      <w:pPr>
        <w:tabs>
          <w:tab w:val="left" w:pos="993"/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729A">
        <w:rPr>
          <w:rFonts w:ascii="Times New Roman" w:hAnsi="Times New Roman" w:cs="Times New Roman"/>
          <w:b/>
          <w:bCs/>
          <w:sz w:val="28"/>
          <w:szCs w:val="28"/>
        </w:rPr>
        <w:t>Аннотация:</w:t>
      </w:r>
      <w:r w:rsidRPr="005F729A">
        <w:rPr>
          <w:rFonts w:ascii="Times New Roman" w:hAnsi="Times New Roman" w:cs="Times New Roman"/>
          <w:sz w:val="28"/>
          <w:szCs w:val="28"/>
        </w:rPr>
        <w:t xml:space="preserve"> Экономическая безопасность кредитных организаций является ключевым элементом стабильности финансовой системы. Настоящая статья посвящена анализу нормативно-правового регулирования угроз экономической безопасности банковского сектора Российской Федерации, с акцентом на роль Центрального банка Российской Федерации (Банка России). Проведено исследование федерального законодательства и подзаконных актов Банка России, регулирующих вопросы защиты информации и обеспечения общей финансовой устойчивости. Выявлены существующие законодательные лакуны и продемонстрирована регулятивная экспансия Банка России, который, несмотря на ограниченный федеральный мандат, активно формирует комплексную систему обеспечения безопасности посредством стандартов, положений и инструкций, действующих во взаимодействии с Федеральной службой безопасности и Федеральной службой по техническому и экспортному контролю. Показано, что деятельность Банка России компенсирует пробелы в федеральном законодательстве, адаптируясь к динамично меняющемуся ландшафту угроз.</w:t>
      </w:r>
    </w:p>
    <w:p w14:paraId="4A9BCE68" w14:textId="77777777" w:rsidR="006D093D" w:rsidRPr="005F729A" w:rsidRDefault="006D093D" w:rsidP="005F729A">
      <w:pPr>
        <w:tabs>
          <w:tab w:val="left" w:pos="993"/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729A">
        <w:rPr>
          <w:rFonts w:ascii="Times New Roman" w:hAnsi="Times New Roman" w:cs="Times New Roman"/>
          <w:b/>
          <w:bCs/>
          <w:sz w:val="28"/>
          <w:szCs w:val="28"/>
        </w:rPr>
        <w:t>Ключевые слова:</w:t>
      </w:r>
      <w:r w:rsidRPr="005F729A">
        <w:rPr>
          <w:rFonts w:ascii="Times New Roman" w:hAnsi="Times New Roman" w:cs="Times New Roman"/>
          <w:sz w:val="28"/>
          <w:szCs w:val="28"/>
        </w:rPr>
        <w:t xml:space="preserve"> экономическая безопасность, кредитные организации, Центральный банк Российской Федерации, информационная безопасность, регулятивная рамка, межведомственное взаимодействие, угрозы финансовой стабильности.</w:t>
      </w:r>
    </w:p>
    <w:p w14:paraId="564A3AD4" w14:textId="77777777" w:rsidR="006D093D" w:rsidRPr="005F729A" w:rsidRDefault="006D093D" w:rsidP="005F729A">
      <w:pPr>
        <w:tabs>
          <w:tab w:val="left" w:pos="993"/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729A">
        <w:rPr>
          <w:rFonts w:ascii="Times New Roman" w:hAnsi="Times New Roman" w:cs="Times New Roman"/>
          <w:b/>
          <w:bCs/>
          <w:sz w:val="28"/>
          <w:szCs w:val="28"/>
        </w:rPr>
        <w:t>Введение</w:t>
      </w:r>
    </w:p>
    <w:p w14:paraId="78BFC90E" w14:textId="77777777" w:rsidR="006D093D" w:rsidRPr="005F729A" w:rsidRDefault="006D093D" w:rsidP="005F729A">
      <w:pPr>
        <w:tabs>
          <w:tab w:val="left" w:pos="993"/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729A">
        <w:rPr>
          <w:rFonts w:ascii="Times New Roman" w:hAnsi="Times New Roman" w:cs="Times New Roman"/>
          <w:sz w:val="28"/>
          <w:szCs w:val="28"/>
        </w:rPr>
        <w:t xml:space="preserve">Обеспечение экономической безопасности является фундаментальным условием стабильного функционирования любой национальной экономики, а в банковском секторе оно приобретает критическое значение, поскольку устойчивость кредитных организаций напрямую влияет на финансовую стабильность государства в целом [1, 2]. Современный ландшафт угроз экономической безопасности характеризуется возрастающей сложностью и многогранностью, включая не только традиционные финансовые риски, но и </w:t>
      </w:r>
      <w:proofErr w:type="spellStart"/>
      <w:r w:rsidRPr="005F729A">
        <w:rPr>
          <w:rFonts w:ascii="Times New Roman" w:hAnsi="Times New Roman" w:cs="Times New Roman"/>
          <w:sz w:val="28"/>
          <w:szCs w:val="28"/>
        </w:rPr>
        <w:t>киберугрозы</w:t>
      </w:r>
      <w:proofErr w:type="spellEnd"/>
      <w:r w:rsidRPr="005F729A">
        <w:rPr>
          <w:rFonts w:ascii="Times New Roman" w:hAnsi="Times New Roman" w:cs="Times New Roman"/>
          <w:sz w:val="28"/>
          <w:szCs w:val="28"/>
        </w:rPr>
        <w:t>, неправомерный доступ к информации, мошеннические операции и другие виды деструктивного воздействия [3, 4].</w:t>
      </w:r>
    </w:p>
    <w:p w14:paraId="70910975" w14:textId="44FD1D52" w:rsidR="006D093D" w:rsidRPr="005F729A" w:rsidRDefault="006D093D" w:rsidP="005F729A">
      <w:pPr>
        <w:tabs>
          <w:tab w:val="left" w:pos="993"/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729A">
        <w:rPr>
          <w:rFonts w:ascii="Times New Roman" w:hAnsi="Times New Roman" w:cs="Times New Roman"/>
          <w:sz w:val="28"/>
          <w:szCs w:val="28"/>
        </w:rPr>
        <w:lastRenderedPageBreak/>
        <w:t xml:space="preserve">В Российской Федерации конституционно закреплена основополагающая функция Центрального банка Российской Федерации (далее – Банк России) по защите и обеспечению устойчивости рубля </w:t>
      </w:r>
      <w:r w:rsidR="00911D61" w:rsidRPr="00911D61">
        <w:rPr>
          <w:rFonts w:ascii="Times New Roman" w:hAnsi="Times New Roman" w:cs="Times New Roman"/>
          <w:sz w:val="28"/>
          <w:szCs w:val="28"/>
        </w:rPr>
        <w:t>[</w:t>
      </w:r>
      <w:r w:rsidRPr="005F729A">
        <w:rPr>
          <w:rFonts w:ascii="Times New Roman" w:hAnsi="Times New Roman" w:cs="Times New Roman"/>
          <w:sz w:val="28"/>
          <w:szCs w:val="28"/>
        </w:rPr>
        <w:t>1</w:t>
      </w:r>
      <w:r w:rsidR="00911D61" w:rsidRPr="00911D61">
        <w:rPr>
          <w:rFonts w:ascii="Times New Roman" w:hAnsi="Times New Roman" w:cs="Times New Roman"/>
          <w:sz w:val="28"/>
          <w:szCs w:val="28"/>
        </w:rPr>
        <w:t>]</w:t>
      </w:r>
      <w:r w:rsidRPr="005F729A">
        <w:rPr>
          <w:rFonts w:ascii="Times New Roman" w:hAnsi="Times New Roman" w:cs="Times New Roman"/>
          <w:sz w:val="28"/>
          <w:szCs w:val="28"/>
        </w:rPr>
        <w:t>. Реализация данной функции неразрывно связана с формированием эффективной системы обеспечения безопасности функционирования банковской системы, включающей как экономические, так и информационные аспекты. Несмотря на это, федеральное законодательство имеет определенные пробелы в комплексном регулировании данной сферы, что обусловливает необходимость детального изучения механизмов, посредством которых Банк России и другие уполномоченные органы обеспечивают экономическую безопасность кредитных организаций.</w:t>
      </w:r>
    </w:p>
    <w:p w14:paraId="0724B296" w14:textId="77777777" w:rsidR="006D093D" w:rsidRPr="005F729A" w:rsidRDefault="006D093D" w:rsidP="005F729A">
      <w:pPr>
        <w:tabs>
          <w:tab w:val="left" w:pos="993"/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729A">
        <w:rPr>
          <w:rFonts w:ascii="Times New Roman" w:hAnsi="Times New Roman" w:cs="Times New Roman"/>
          <w:sz w:val="28"/>
          <w:szCs w:val="28"/>
        </w:rPr>
        <w:t>Целью данной статьи является проведение нормативно-правовой и институциональной оценки существующей системы обеспечения экономической безопасности кредитных организаций в Российской Федерации, выявление роли Банка России в формировании регулятивной среды и анализ механизмов его взаимодействия с ключевыми федеральными органами исполнительной власти.</w:t>
      </w:r>
    </w:p>
    <w:p w14:paraId="25E3D952" w14:textId="77777777" w:rsidR="006D093D" w:rsidRPr="005F729A" w:rsidRDefault="006D093D" w:rsidP="005F729A">
      <w:pPr>
        <w:tabs>
          <w:tab w:val="left" w:pos="993"/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729A">
        <w:rPr>
          <w:rFonts w:ascii="Times New Roman" w:hAnsi="Times New Roman" w:cs="Times New Roman"/>
          <w:b/>
          <w:bCs/>
          <w:sz w:val="28"/>
          <w:szCs w:val="28"/>
        </w:rPr>
        <w:t>Методология исследования</w:t>
      </w:r>
    </w:p>
    <w:p w14:paraId="3114D470" w14:textId="77777777" w:rsidR="006D093D" w:rsidRPr="005F729A" w:rsidRDefault="006D093D" w:rsidP="005F729A">
      <w:pPr>
        <w:tabs>
          <w:tab w:val="left" w:pos="993"/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729A">
        <w:rPr>
          <w:rFonts w:ascii="Times New Roman" w:hAnsi="Times New Roman" w:cs="Times New Roman"/>
          <w:sz w:val="28"/>
          <w:szCs w:val="28"/>
        </w:rPr>
        <w:t>Исследование проводилось с использованием комплексной методологии, включающей:</w:t>
      </w:r>
    </w:p>
    <w:p w14:paraId="0726A8A1" w14:textId="77777777" w:rsidR="006D093D" w:rsidRPr="005F729A" w:rsidRDefault="006D093D" w:rsidP="005F729A">
      <w:pPr>
        <w:tabs>
          <w:tab w:val="left" w:pos="993"/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729A">
        <w:rPr>
          <w:rFonts w:ascii="Times New Roman" w:hAnsi="Times New Roman" w:cs="Times New Roman"/>
          <w:b/>
          <w:bCs/>
          <w:sz w:val="28"/>
          <w:szCs w:val="28"/>
        </w:rPr>
        <w:t>Нормативно-правовой анализ:</w:t>
      </w:r>
      <w:r w:rsidRPr="005F729A">
        <w:rPr>
          <w:rFonts w:ascii="Times New Roman" w:hAnsi="Times New Roman" w:cs="Times New Roman"/>
          <w:sz w:val="28"/>
          <w:szCs w:val="28"/>
        </w:rPr>
        <w:t xml:space="preserve"> Изучение Конституции РФ, федеральных законов, постановлений Правительства РФ, а также нормативных актов Банка России с целью выявления их содержания, иерархии и сферы применения в контексте обеспечения экономической и информационной безопасности кредитных организаций.</w:t>
      </w:r>
    </w:p>
    <w:p w14:paraId="711FD717" w14:textId="77777777" w:rsidR="006D093D" w:rsidRPr="005F729A" w:rsidRDefault="006D093D" w:rsidP="005F729A">
      <w:pPr>
        <w:tabs>
          <w:tab w:val="left" w:pos="993"/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729A">
        <w:rPr>
          <w:rFonts w:ascii="Times New Roman" w:hAnsi="Times New Roman" w:cs="Times New Roman"/>
          <w:b/>
          <w:bCs/>
          <w:sz w:val="28"/>
          <w:szCs w:val="28"/>
        </w:rPr>
        <w:t>Системный подход:</w:t>
      </w:r>
      <w:r w:rsidRPr="005F729A">
        <w:rPr>
          <w:rFonts w:ascii="Times New Roman" w:hAnsi="Times New Roman" w:cs="Times New Roman"/>
          <w:sz w:val="28"/>
          <w:szCs w:val="28"/>
        </w:rPr>
        <w:t xml:space="preserve"> Рассмотрение совокупности субъектов (Банк России, ФСБ России, ФСТЭК России) и объектов регулирования (кредитные организации) как единой системы, анализ взаимосвязей и распределения функций.</w:t>
      </w:r>
    </w:p>
    <w:p w14:paraId="6D8B8CCE" w14:textId="77777777" w:rsidR="006D093D" w:rsidRPr="005F729A" w:rsidRDefault="006D093D" w:rsidP="005F729A">
      <w:pPr>
        <w:tabs>
          <w:tab w:val="left" w:pos="993"/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729A">
        <w:rPr>
          <w:rFonts w:ascii="Times New Roman" w:hAnsi="Times New Roman" w:cs="Times New Roman"/>
          <w:b/>
          <w:bCs/>
          <w:sz w:val="28"/>
          <w:szCs w:val="28"/>
        </w:rPr>
        <w:t>Институциональный анализ:</w:t>
      </w:r>
      <w:r w:rsidRPr="005F729A">
        <w:rPr>
          <w:rFonts w:ascii="Times New Roman" w:hAnsi="Times New Roman" w:cs="Times New Roman"/>
          <w:sz w:val="28"/>
          <w:szCs w:val="28"/>
        </w:rPr>
        <w:t xml:space="preserve"> Оценка полномочий и деятельности Банка России в качестве нормотворческого, исполнительного, контролирующего и надзирающего органа в банковской сфере.</w:t>
      </w:r>
    </w:p>
    <w:p w14:paraId="1DA5B9FE" w14:textId="77777777" w:rsidR="006D093D" w:rsidRPr="005F729A" w:rsidRDefault="006D093D" w:rsidP="005F729A">
      <w:pPr>
        <w:tabs>
          <w:tab w:val="left" w:pos="993"/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729A">
        <w:rPr>
          <w:rFonts w:ascii="Times New Roman" w:hAnsi="Times New Roman" w:cs="Times New Roman"/>
          <w:b/>
          <w:bCs/>
          <w:sz w:val="28"/>
          <w:szCs w:val="28"/>
        </w:rPr>
        <w:t>Сравнительный анализ:</w:t>
      </w:r>
      <w:r w:rsidRPr="005F729A">
        <w:rPr>
          <w:rFonts w:ascii="Times New Roman" w:hAnsi="Times New Roman" w:cs="Times New Roman"/>
          <w:sz w:val="28"/>
          <w:szCs w:val="28"/>
        </w:rPr>
        <w:t xml:space="preserve"> Сопоставление объема полномочий, законодательно закрепленных за Банком России, с фактически осуществляемой им регулятивной деятельностью.</w:t>
      </w:r>
    </w:p>
    <w:p w14:paraId="79DD0230" w14:textId="77777777" w:rsidR="006D093D" w:rsidRPr="005F729A" w:rsidRDefault="006D093D" w:rsidP="005F729A">
      <w:pPr>
        <w:tabs>
          <w:tab w:val="left" w:pos="993"/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729A">
        <w:rPr>
          <w:rFonts w:ascii="Times New Roman" w:hAnsi="Times New Roman" w:cs="Times New Roman"/>
          <w:b/>
          <w:bCs/>
          <w:sz w:val="28"/>
          <w:szCs w:val="28"/>
        </w:rPr>
        <w:t>Результаты и обсуждение</w:t>
      </w:r>
    </w:p>
    <w:p w14:paraId="2EA9DF21" w14:textId="77777777" w:rsidR="006D093D" w:rsidRPr="005F729A" w:rsidRDefault="006D093D" w:rsidP="005F729A">
      <w:pPr>
        <w:tabs>
          <w:tab w:val="left" w:pos="993"/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729A">
        <w:rPr>
          <w:rFonts w:ascii="Times New Roman" w:hAnsi="Times New Roman" w:cs="Times New Roman"/>
          <w:b/>
          <w:bCs/>
          <w:sz w:val="28"/>
          <w:szCs w:val="28"/>
        </w:rPr>
        <w:lastRenderedPageBreak/>
        <w:t>1. Конституционно-правовые основы и федеральный мандат Банка России</w:t>
      </w:r>
    </w:p>
    <w:p w14:paraId="45E1B9D9" w14:textId="6BF47E48" w:rsidR="006D093D" w:rsidRPr="005F729A" w:rsidRDefault="006D093D" w:rsidP="005F729A">
      <w:pPr>
        <w:tabs>
          <w:tab w:val="left" w:pos="993"/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729A">
        <w:rPr>
          <w:rFonts w:ascii="Times New Roman" w:hAnsi="Times New Roman" w:cs="Times New Roman"/>
          <w:sz w:val="28"/>
          <w:szCs w:val="28"/>
        </w:rPr>
        <w:t xml:space="preserve">Согласно пункту 2 статьи 75 Конституции Российской Федерации 1, «Защита и обеспечение устойчивости рубля – основная функция Центрального банка Российской Федерации». Данное положение является отправной точкой для формирования всей регулятивной архитектуры, направленной на поддержание стабильности финансовой системы. Детализация этой функции осуществляется Федеральным законом от 10.07.2002 № 86-ФЗ «О Центральном банке Российской Федерации (Банке России)» </w:t>
      </w:r>
      <w:r w:rsidR="00911D61" w:rsidRPr="00911D61">
        <w:rPr>
          <w:rFonts w:ascii="Times New Roman" w:hAnsi="Times New Roman" w:cs="Times New Roman"/>
          <w:sz w:val="28"/>
          <w:szCs w:val="28"/>
        </w:rPr>
        <w:t>[</w:t>
      </w:r>
      <w:r w:rsidRPr="005F729A">
        <w:rPr>
          <w:rFonts w:ascii="Times New Roman" w:hAnsi="Times New Roman" w:cs="Times New Roman"/>
          <w:sz w:val="28"/>
          <w:szCs w:val="28"/>
        </w:rPr>
        <w:t>2</w:t>
      </w:r>
      <w:r w:rsidR="00911D61" w:rsidRPr="00911D61">
        <w:rPr>
          <w:rFonts w:ascii="Times New Roman" w:hAnsi="Times New Roman" w:cs="Times New Roman"/>
          <w:sz w:val="28"/>
          <w:szCs w:val="28"/>
        </w:rPr>
        <w:t>]</w:t>
      </w:r>
      <w:r w:rsidRPr="005F729A">
        <w:rPr>
          <w:rFonts w:ascii="Times New Roman" w:hAnsi="Times New Roman" w:cs="Times New Roman"/>
          <w:sz w:val="28"/>
          <w:szCs w:val="28"/>
        </w:rPr>
        <w:t>. В частности, статья 57.4 данного Закона императивно возлагает на Банк России обязанность обеспечить защиту информации при осуществлении банковской деятельности.</w:t>
      </w:r>
    </w:p>
    <w:p w14:paraId="7FA390E5" w14:textId="7827A072" w:rsidR="006D093D" w:rsidRPr="005F729A" w:rsidRDefault="006D093D" w:rsidP="005F729A">
      <w:pPr>
        <w:tabs>
          <w:tab w:val="left" w:pos="993"/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729A">
        <w:rPr>
          <w:rFonts w:ascii="Times New Roman" w:hAnsi="Times New Roman" w:cs="Times New Roman"/>
          <w:sz w:val="28"/>
          <w:szCs w:val="28"/>
        </w:rPr>
        <w:t xml:space="preserve">Однако следует отметить существенные ограничения в федеральном законодательстве. Закон № 86-ФЗ фокусируется преимущественно на обеспечении защиты информации при осуществлении банковских операций, в частности, переводов денежных средств без согласия клиента. При этом такие критически важные аспекты информационной безопасности, как неправомерный доступ к банковской информации, ее хищение, несанкционированное изменение или уничтожение, не находят прямого и детального регулирования в рамках этого закона. Более того, ключевой федеральный закон, регулирующий деятельность коммерческих банков, – Федеральный закон от 02.12.1990 № 395-1 «О банках и банковской деятельности» </w:t>
      </w:r>
      <w:r w:rsidR="00CF7212" w:rsidRPr="00CF7212">
        <w:rPr>
          <w:rFonts w:ascii="Times New Roman" w:hAnsi="Times New Roman" w:cs="Times New Roman"/>
          <w:sz w:val="28"/>
          <w:szCs w:val="28"/>
        </w:rPr>
        <w:t>[</w:t>
      </w:r>
      <w:r w:rsidRPr="005F729A">
        <w:rPr>
          <w:rFonts w:ascii="Times New Roman" w:hAnsi="Times New Roman" w:cs="Times New Roman"/>
          <w:sz w:val="28"/>
          <w:szCs w:val="28"/>
        </w:rPr>
        <w:t>3</w:t>
      </w:r>
      <w:r w:rsidR="00CF7212" w:rsidRPr="00CF7212">
        <w:rPr>
          <w:rFonts w:ascii="Times New Roman" w:hAnsi="Times New Roman" w:cs="Times New Roman"/>
          <w:sz w:val="28"/>
          <w:szCs w:val="28"/>
        </w:rPr>
        <w:t>]</w:t>
      </w:r>
      <w:r w:rsidRPr="005F729A">
        <w:rPr>
          <w:rFonts w:ascii="Times New Roman" w:hAnsi="Times New Roman" w:cs="Times New Roman"/>
          <w:sz w:val="28"/>
          <w:szCs w:val="28"/>
        </w:rPr>
        <w:t xml:space="preserve"> – практически не содержит положений, касающихся вопросов обеспечения безопасности банковской деятельности в целом, что создает значительный правовой пробел.</w:t>
      </w:r>
    </w:p>
    <w:p w14:paraId="40FAA3F1" w14:textId="77777777" w:rsidR="006D093D" w:rsidRPr="005F729A" w:rsidRDefault="006D093D" w:rsidP="005F729A">
      <w:pPr>
        <w:tabs>
          <w:tab w:val="left" w:pos="993"/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729A">
        <w:rPr>
          <w:rFonts w:ascii="Times New Roman" w:hAnsi="Times New Roman" w:cs="Times New Roman"/>
          <w:b/>
          <w:bCs/>
          <w:sz w:val="28"/>
          <w:szCs w:val="28"/>
        </w:rPr>
        <w:t>2. Разграничение полномочий и межведомственное взаимодействие</w:t>
      </w:r>
    </w:p>
    <w:p w14:paraId="6A702D0A" w14:textId="3E16AFF3" w:rsidR="006D093D" w:rsidRDefault="006D093D" w:rsidP="005F729A">
      <w:pPr>
        <w:tabs>
          <w:tab w:val="left" w:pos="993"/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729A">
        <w:rPr>
          <w:rFonts w:ascii="Times New Roman" w:hAnsi="Times New Roman" w:cs="Times New Roman"/>
          <w:sz w:val="28"/>
          <w:szCs w:val="28"/>
        </w:rPr>
        <w:t xml:space="preserve">Несмотря на указанные законодательные лакуны, система обеспечения безопасности в банковском секторе реализуется посредством сложного межведомственного взаимодействия, включающего следующие ключевые органы (см. </w:t>
      </w:r>
      <w:r w:rsidR="00CF7212">
        <w:rPr>
          <w:rFonts w:ascii="Times New Roman" w:hAnsi="Times New Roman" w:cs="Times New Roman"/>
          <w:sz w:val="28"/>
          <w:szCs w:val="28"/>
        </w:rPr>
        <w:t>р</w:t>
      </w:r>
      <w:r w:rsidRPr="005F729A">
        <w:rPr>
          <w:rFonts w:ascii="Times New Roman" w:hAnsi="Times New Roman" w:cs="Times New Roman"/>
          <w:sz w:val="28"/>
          <w:szCs w:val="28"/>
        </w:rPr>
        <w:t>исунок 1)</w:t>
      </w:r>
      <w:r w:rsidR="009D3A30">
        <w:rPr>
          <w:rFonts w:ascii="Times New Roman" w:hAnsi="Times New Roman" w:cs="Times New Roman"/>
          <w:sz w:val="28"/>
          <w:szCs w:val="28"/>
        </w:rPr>
        <w:t>.</w:t>
      </w:r>
    </w:p>
    <w:p w14:paraId="0768CE94" w14:textId="3505F5A6" w:rsidR="009D3A30" w:rsidRDefault="009D3A30" w:rsidP="005F729A">
      <w:pPr>
        <w:tabs>
          <w:tab w:val="left" w:pos="993"/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Данные рисунка позволяют сделать следующие выводы.</w:t>
      </w:r>
    </w:p>
    <w:p w14:paraId="6325354B" w14:textId="77777777" w:rsidR="009D3A30" w:rsidRDefault="009D3A30" w:rsidP="009D3A30">
      <w:pPr>
        <w:tabs>
          <w:tab w:val="left" w:pos="993"/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729A">
        <w:rPr>
          <w:rFonts w:ascii="Times New Roman" w:hAnsi="Times New Roman" w:cs="Times New Roman"/>
          <w:b/>
          <w:bCs/>
          <w:sz w:val="28"/>
          <w:szCs w:val="28"/>
        </w:rPr>
        <w:t>Федеральная служба безопасности Российской Федерации (ФСБ России):</w:t>
      </w:r>
      <w:r w:rsidRPr="005F729A">
        <w:rPr>
          <w:rFonts w:ascii="Times New Roman" w:hAnsi="Times New Roman" w:cs="Times New Roman"/>
          <w:sz w:val="28"/>
          <w:szCs w:val="28"/>
        </w:rPr>
        <w:t xml:space="preserve"> Являясь федеральным органом исполнительной власти, уполномоченным в области обеспечения государственной безопасности, ФСБ России активно участвует в защите критической информационной инфраструктуры банковского сектора. </w:t>
      </w:r>
    </w:p>
    <w:p w14:paraId="40ADB5D3" w14:textId="77777777" w:rsidR="009D3A30" w:rsidRDefault="009D3A30" w:rsidP="005F729A">
      <w:pPr>
        <w:tabs>
          <w:tab w:val="left" w:pos="993"/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A5F7427" w14:textId="2AF7D8B5" w:rsidR="00CF7212" w:rsidRDefault="00CF7212" w:rsidP="00CF7212">
      <w:pPr>
        <w:tabs>
          <w:tab w:val="left" w:pos="993"/>
          <w:tab w:val="left" w:pos="1276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014157BF" w14:textId="02A5EA39" w:rsidR="00CF7212" w:rsidRDefault="00CF7212" w:rsidP="00CF7212">
      <w:pPr>
        <w:tabs>
          <w:tab w:val="left" w:pos="993"/>
          <w:tab w:val="left" w:pos="1276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B87FB6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703986AD" wp14:editId="69F0955A">
            <wp:extent cx="5908675" cy="4667140"/>
            <wp:effectExtent l="0" t="0" r="0" b="19685"/>
            <wp:docPr id="2" name="Схема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5" r:lo="rId6" r:qs="rId7" r:cs="rId8"/>
              </a:graphicData>
            </a:graphic>
          </wp:inline>
        </w:drawing>
      </w:r>
    </w:p>
    <w:p w14:paraId="3217389E" w14:textId="33C98298" w:rsidR="009D3A30" w:rsidRPr="005F729A" w:rsidRDefault="009D3A30" w:rsidP="009D3A30">
      <w:pPr>
        <w:tabs>
          <w:tab w:val="left" w:pos="993"/>
          <w:tab w:val="left" w:pos="1276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9D3A30">
        <w:rPr>
          <w:rFonts w:ascii="Times New Roman" w:hAnsi="Times New Roman" w:cs="Times New Roman"/>
          <w:sz w:val="28"/>
          <w:szCs w:val="28"/>
        </w:rPr>
        <w:t>Рисунок 1 – Система обеспечения безопасности коммерческих банков в Российской Федерации</w:t>
      </w:r>
    </w:p>
    <w:p w14:paraId="29CD6604" w14:textId="77777777" w:rsidR="009D3A30" w:rsidRDefault="009D3A30" w:rsidP="005F729A">
      <w:pPr>
        <w:tabs>
          <w:tab w:val="left" w:pos="993"/>
          <w:tab w:val="left" w:pos="1276"/>
        </w:tabs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C7CC653" w14:textId="47CF6CB0" w:rsidR="006D093D" w:rsidRPr="005F729A" w:rsidRDefault="006D093D" w:rsidP="005F729A">
      <w:pPr>
        <w:tabs>
          <w:tab w:val="left" w:pos="993"/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729A">
        <w:rPr>
          <w:rFonts w:ascii="Times New Roman" w:hAnsi="Times New Roman" w:cs="Times New Roman"/>
          <w:sz w:val="28"/>
          <w:szCs w:val="28"/>
        </w:rPr>
        <w:t>На основании пункта 1 части 1 статьи 12 Федерального закона от 04.05.2011 № 99-ФЗ «О лицензировании отдельных видов деятельности» 5 и в соответствии с Постановлением Правительства РФ от 16.04.2012 № 313 [6, 7], ФСБ России осуществляет лицензирование деятельности, связанной с разработкой, производством, распространением и использованием шифровальных (криптографических) средств, что является критически важным для защиты банковской информации.</w:t>
      </w:r>
    </w:p>
    <w:p w14:paraId="09D15B5C" w14:textId="34BBADF8" w:rsidR="006D093D" w:rsidRPr="005F729A" w:rsidRDefault="006D093D" w:rsidP="005F729A">
      <w:pPr>
        <w:tabs>
          <w:tab w:val="left" w:pos="993"/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729A">
        <w:rPr>
          <w:rFonts w:ascii="Times New Roman" w:hAnsi="Times New Roman" w:cs="Times New Roman"/>
          <w:b/>
          <w:bCs/>
          <w:sz w:val="28"/>
          <w:szCs w:val="28"/>
        </w:rPr>
        <w:t>Федеральная служба по техническому и экспортному контролю (ФСТЭК России):</w:t>
      </w:r>
      <w:r w:rsidRPr="005F729A">
        <w:rPr>
          <w:rFonts w:ascii="Times New Roman" w:hAnsi="Times New Roman" w:cs="Times New Roman"/>
          <w:sz w:val="28"/>
          <w:szCs w:val="28"/>
        </w:rPr>
        <w:t xml:space="preserve"> Этот федеральный орган исполнительной власти уполномочен в области технической защиты информации и противодействия иностранным техническим разведкам. ФСТЭК России также активно занимается вопросами выявления и учета уязвимостей программного обеспечения и программно-аппаратных средств, что подтверждается наличием методических документов, регламентирующих включение такой информации в банк данных угроз безопасности </w:t>
      </w:r>
      <w:r w:rsidR="00F9576A" w:rsidRPr="00F9576A">
        <w:rPr>
          <w:rFonts w:ascii="Times New Roman" w:hAnsi="Times New Roman" w:cs="Times New Roman"/>
          <w:sz w:val="28"/>
          <w:szCs w:val="28"/>
        </w:rPr>
        <w:t>[</w:t>
      </w:r>
      <w:r w:rsidRPr="005F729A">
        <w:rPr>
          <w:rFonts w:ascii="Times New Roman" w:hAnsi="Times New Roman" w:cs="Times New Roman"/>
          <w:sz w:val="28"/>
          <w:szCs w:val="28"/>
        </w:rPr>
        <w:t>4</w:t>
      </w:r>
      <w:r w:rsidR="00F9576A" w:rsidRPr="00F9576A">
        <w:rPr>
          <w:rFonts w:ascii="Times New Roman" w:hAnsi="Times New Roman" w:cs="Times New Roman"/>
          <w:sz w:val="28"/>
          <w:szCs w:val="28"/>
        </w:rPr>
        <w:t>]</w:t>
      </w:r>
      <w:r w:rsidRPr="005F729A">
        <w:rPr>
          <w:rFonts w:ascii="Times New Roman" w:hAnsi="Times New Roman" w:cs="Times New Roman"/>
          <w:sz w:val="28"/>
          <w:szCs w:val="28"/>
        </w:rPr>
        <w:t>.</w:t>
      </w:r>
    </w:p>
    <w:p w14:paraId="0FC82592" w14:textId="77777777" w:rsidR="006D093D" w:rsidRPr="005F729A" w:rsidRDefault="006D093D" w:rsidP="005F729A">
      <w:pPr>
        <w:tabs>
          <w:tab w:val="left" w:pos="993"/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729A">
        <w:rPr>
          <w:rFonts w:ascii="Times New Roman" w:hAnsi="Times New Roman" w:cs="Times New Roman"/>
          <w:sz w:val="28"/>
          <w:szCs w:val="28"/>
        </w:rPr>
        <w:lastRenderedPageBreak/>
        <w:t>Данное распределение полномочий свидетельствует о комплексном подходе к обеспечению безопасности, где ФСБ России отвечает за криптографическую защиту, а ФСТЭК России – за техническую защиту и анализ уязвимостей, при этом Банк России выступает в роли основного регулятора банковской деятельности, интегрируя требования этих органов в свою нормативную базу.</w:t>
      </w:r>
    </w:p>
    <w:p w14:paraId="0C560D29" w14:textId="77777777" w:rsidR="006D093D" w:rsidRPr="005F729A" w:rsidRDefault="006D093D" w:rsidP="005F729A">
      <w:pPr>
        <w:tabs>
          <w:tab w:val="left" w:pos="993"/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729A">
        <w:rPr>
          <w:rFonts w:ascii="Times New Roman" w:hAnsi="Times New Roman" w:cs="Times New Roman"/>
          <w:b/>
          <w:bCs/>
          <w:sz w:val="28"/>
          <w:szCs w:val="28"/>
        </w:rPr>
        <w:t>3. Расширение регулятивного периметра Центрального банка Российской Федерации</w:t>
      </w:r>
    </w:p>
    <w:p w14:paraId="5C439D6F" w14:textId="77777777" w:rsidR="006D093D" w:rsidRPr="005F729A" w:rsidRDefault="006D093D" w:rsidP="005F729A">
      <w:pPr>
        <w:tabs>
          <w:tab w:val="left" w:pos="993"/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729A">
        <w:rPr>
          <w:rFonts w:ascii="Times New Roman" w:hAnsi="Times New Roman" w:cs="Times New Roman"/>
          <w:sz w:val="28"/>
          <w:szCs w:val="28"/>
        </w:rPr>
        <w:t>Анализ деятельности Банка России показывает, что фактически он выполняет не только нормотворческие функции, но также исполнительные, контролирующие и надзирающие функции по отношению к коммерческим банкам. В рамках нормотворческой деятельности Банк России разработал и ввел в действие обширный комплекс нормативных правовых актов, обязательных для неукоснительного исполнения кредитными организациями. Этот комплекс значительно шире формального мандата, закрепленного в Федеральном законе № 86-ФЗ, и охватывает широкий спектр вопросов информационной и экономической безопасности.</w:t>
      </w:r>
    </w:p>
    <w:p w14:paraId="28FB865D" w14:textId="77777777" w:rsidR="006D093D" w:rsidRPr="005F729A" w:rsidRDefault="006D093D" w:rsidP="005F729A">
      <w:pPr>
        <w:tabs>
          <w:tab w:val="left" w:pos="993"/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729A">
        <w:rPr>
          <w:rFonts w:ascii="Times New Roman" w:hAnsi="Times New Roman" w:cs="Times New Roman"/>
          <w:b/>
          <w:bCs/>
          <w:sz w:val="28"/>
          <w:szCs w:val="28"/>
        </w:rPr>
        <w:t>3.1. Стандарты Банка России (СТО БР ИББС):</w:t>
      </w:r>
      <w:r w:rsidRPr="005F729A">
        <w:rPr>
          <w:rFonts w:ascii="Times New Roman" w:hAnsi="Times New Roman" w:cs="Times New Roman"/>
          <w:sz w:val="28"/>
          <w:szCs w:val="28"/>
        </w:rPr>
        <w:t xml:space="preserve"> Данные стандарты формируют методологическую основу обеспечения информационной безопасности в банковской системе:</w:t>
      </w:r>
    </w:p>
    <w:p w14:paraId="545E6BDC" w14:textId="77777777" w:rsidR="006D093D" w:rsidRPr="005F729A" w:rsidRDefault="006D093D" w:rsidP="005F729A">
      <w:pPr>
        <w:tabs>
          <w:tab w:val="left" w:pos="993"/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729A">
        <w:rPr>
          <w:rFonts w:ascii="Times New Roman" w:hAnsi="Times New Roman" w:cs="Times New Roman"/>
          <w:b/>
          <w:bCs/>
          <w:sz w:val="28"/>
          <w:szCs w:val="28"/>
        </w:rPr>
        <w:t>СТО БР ИББС-1.0-2014</w:t>
      </w:r>
      <w:r w:rsidRPr="005F729A">
        <w:rPr>
          <w:rFonts w:ascii="Times New Roman" w:hAnsi="Times New Roman" w:cs="Times New Roman"/>
          <w:sz w:val="28"/>
          <w:szCs w:val="28"/>
        </w:rPr>
        <w:t xml:space="preserve"> 8: Устанавливает общие положения по обеспечению информационной безопасности организаций банковской системы Российской Федерации.</w:t>
      </w:r>
    </w:p>
    <w:p w14:paraId="455CBB1A" w14:textId="77777777" w:rsidR="006D093D" w:rsidRPr="005F729A" w:rsidRDefault="006D093D" w:rsidP="005F729A">
      <w:pPr>
        <w:tabs>
          <w:tab w:val="left" w:pos="993"/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729A">
        <w:rPr>
          <w:rFonts w:ascii="Times New Roman" w:hAnsi="Times New Roman" w:cs="Times New Roman"/>
          <w:b/>
          <w:bCs/>
          <w:sz w:val="28"/>
          <w:szCs w:val="28"/>
        </w:rPr>
        <w:t>СТО БР ИББС-1.2-2014</w:t>
      </w:r>
      <w:r w:rsidRPr="005F729A">
        <w:rPr>
          <w:rFonts w:ascii="Times New Roman" w:hAnsi="Times New Roman" w:cs="Times New Roman"/>
          <w:sz w:val="28"/>
          <w:szCs w:val="28"/>
        </w:rPr>
        <w:t xml:space="preserve"> 9: Детализирует вопросы обеспечения информационной безопасности и содержит методику оценки соответствия состояния ИБ требованиям СТО БР ИББС-1.0-2014.</w:t>
      </w:r>
    </w:p>
    <w:p w14:paraId="1182A8AB" w14:textId="77777777" w:rsidR="006D093D" w:rsidRPr="005F729A" w:rsidRDefault="006D093D" w:rsidP="005F729A">
      <w:pPr>
        <w:tabs>
          <w:tab w:val="left" w:pos="993"/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729A">
        <w:rPr>
          <w:rFonts w:ascii="Times New Roman" w:hAnsi="Times New Roman" w:cs="Times New Roman"/>
          <w:b/>
          <w:bCs/>
          <w:sz w:val="28"/>
          <w:szCs w:val="28"/>
        </w:rPr>
        <w:t>СТО БР ИББС-1.1-2007</w:t>
      </w:r>
      <w:r w:rsidRPr="005F729A">
        <w:rPr>
          <w:rFonts w:ascii="Times New Roman" w:hAnsi="Times New Roman" w:cs="Times New Roman"/>
          <w:sz w:val="28"/>
          <w:szCs w:val="28"/>
        </w:rPr>
        <w:t xml:space="preserve"> 10: Регламентирует проведение аудита информационной безопасности кредитных организаций.</w:t>
      </w:r>
    </w:p>
    <w:p w14:paraId="5C8D61E4" w14:textId="77777777" w:rsidR="006D093D" w:rsidRPr="005F729A" w:rsidRDefault="006D093D" w:rsidP="005F729A">
      <w:pPr>
        <w:tabs>
          <w:tab w:val="left" w:pos="993"/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729A">
        <w:rPr>
          <w:rFonts w:ascii="Times New Roman" w:hAnsi="Times New Roman" w:cs="Times New Roman"/>
          <w:b/>
          <w:bCs/>
          <w:sz w:val="28"/>
          <w:szCs w:val="28"/>
        </w:rPr>
        <w:t>СТО БР ИББС-1.4-2018</w:t>
      </w:r>
      <w:r w:rsidRPr="005F729A">
        <w:rPr>
          <w:rFonts w:ascii="Times New Roman" w:hAnsi="Times New Roman" w:cs="Times New Roman"/>
          <w:sz w:val="28"/>
          <w:szCs w:val="28"/>
        </w:rPr>
        <w:t xml:space="preserve"> 11: Определяет систему управления рисками нарушения информационной безопасности при аутсорсинге ИБ.</w:t>
      </w:r>
    </w:p>
    <w:p w14:paraId="36F14364" w14:textId="77777777" w:rsidR="006D093D" w:rsidRPr="005F729A" w:rsidRDefault="006D093D" w:rsidP="005F729A">
      <w:pPr>
        <w:tabs>
          <w:tab w:val="left" w:pos="993"/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729A">
        <w:rPr>
          <w:rFonts w:ascii="Times New Roman" w:hAnsi="Times New Roman" w:cs="Times New Roman"/>
          <w:b/>
          <w:bCs/>
          <w:sz w:val="28"/>
          <w:szCs w:val="28"/>
        </w:rPr>
        <w:t>3.2. Положения Банка России:</w:t>
      </w:r>
      <w:r w:rsidRPr="005F729A">
        <w:rPr>
          <w:rFonts w:ascii="Times New Roman" w:hAnsi="Times New Roman" w:cs="Times New Roman"/>
          <w:sz w:val="28"/>
          <w:szCs w:val="28"/>
        </w:rPr>
        <w:t xml:space="preserve"> Эти документы устанавливают обязательные требования:</w:t>
      </w:r>
    </w:p>
    <w:p w14:paraId="60B32BD1" w14:textId="77777777" w:rsidR="006D093D" w:rsidRPr="005F729A" w:rsidRDefault="006D093D" w:rsidP="005F729A">
      <w:pPr>
        <w:tabs>
          <w:tab w:val="left" w:pos="993"/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729A">
        <w:rPr>
          <w:rFonts w:ascii="Times New Roman" w:hAnsi="Times New Roman" w:cs="Times New Roman"/>
          <w:b/>
          <w:bCs/>
          <w:sz w:val="28"/>
          <w:szCs w:val="28"/>
        </w:rPr>
        <w:t>Положение Банка России от 23.12.2020 № 747-П</w:t>
      </w:r>
      <w:r w:rsidRPr="005F729A">
        <w:rPr>
          <w:rFonts w:ascii="Times New Roman" w:hAnsi="Times New Roman" w:cs="Times New Roman"/>
          <w:sz w:val="28"/>
          <w:szCs w:val="28"/>
        </w:rPr>
        <w:t xml:space="preserve"> 12: Определяет требования к защите информации в платежной системе Банка России.</w:t>
      </w:r>
    </w:p>
    <w:p w14:paraId="54A4DE9F" w14:textId="77777777" w:rsidR="006D093D" w:rsidRPr="005F729A" w:rsidRDefault="006D093D" w:rsidP="005F729A">
      <w:pPr>
        <w:tabs>
          <w:tab w:val="left" w:pos="993"/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729A">
        <w:rPr>
          <w:rFonts w:ascii="Times New Roman" w:hAnsi="Times New Roman" w:cs="Times New Roman"/>
          <w:b/>
          <w:bCs/>
          <w:sz w:val="28"/>
          <w:szCs w:val="28"/>
        </w:rPr>
        <w:t>Положение Банка России от 17.04.2019 № 683-П</w:t>
      </w:r>
      <w:r w:rsidRPr="005F729A">
        <w:rPr>
          <w:rFonts w:ascii="Times New Roman" w:hAnsi="Times New Roman" w:cs="Times New Roman"/>
          <w:sz w:val="28"/>
          <w:szCs w:val="28"/>
        </w:rPr>
        <w:t xml:space="preserve"> 13: Устанавливает обязательные требования к обеспечению защиты информации при </w:t>
      </w:r>
      <w:r w:rsidRPr="005F729A">
        <w:rPr>
          <w:rFonts w:ascii="Times New Roman" w:hAnsi="Times New Roman" w:cs="Times New Roman"/>
          <w:sz w:val="28"/>
          <w:szCs w:val="28"/>
        </w:rPr>
        <w:lastRenderedPageBreak/>
        <w:t>осуществлении банковской деятельности в целях противодействия несанкционированным переводам денежных средств без согласия клиента.</w:t>
      </w:r>
    </w:p>
    <w:p w14:paraId="53FD509A" w14:textId="77777777" w:rsidR="006D093D" w:rsidRPr="005F729A" w:rsidRDefault="006D093D" w:rsidP="005F729A">
      <w:pPr>
        <w:tabs>
          <w:tab w:val="left" w:pos="993"/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729A">
        <w:rPr>
          <w:rFonts w:ascii="Times New Roman" w:hAnsi="Times New Roman" w:cs="Times New Roman"/>
          <w:b/>
          <w:bCs/>
          <w:sz w:val="28"/>
          <w:szCs w:val="28"/>
        </w:rPr>
        <w:t>3.3. Рекомендации в области стандартизации Банка России (РС БР ИББС):</w:t>
      </w:r>
      <w:r w:rsidRPr="005F729A">
        <w:rPr>
          <w:rFonts w:ascii="Times New Roman" w:hAnsi="Times New Roman" w:cs="Times New Roman"/>
          <w:sz w:val="28"/>
          <w:szCs w:val="28"/>
        </w:rPr>
        <w:t xml:space="preserve"> Примером является </w:t>
      </w:r>
      <w:r w:rsidRPr="005F729A">
        <w:rPr>
          <w:rFonts w:ascii="Times New Roman" w:hAnsi="Times New Roman" w:cs="Times New Roman"/>
          <w:b/>
          <w:bCs/>
          <w:sz w:val="28"/>
          <w:szCs w:val="28"/>
        </w:rPr>
        <w:t>РС БР ИББС-2.9-2016</w:t>
      </w:r>
      <w:r w:rsidRPr="005F729A">
        <w:rPr>
          <w:rFonts w:ascii="Times New Roman" w:hAnsi="Times New Roman" w:cs="Times New Roman"/>
          <w:sz w:val="28"/>
          <w:szCs w:val="28"/>
        </w:rPr>
        <w:t xml:space="preserve"> 14, регламентирующие вопросы предотвращения утечек информации, что является критически важным для банковского сектора.</w:t>
      </w:r>
    </w:p>
    <w:p w14:paraId="380A11CA" w14:textId="77777777" w:rsidR="006D093D" w:rsidRPr="005F729A" w:rsidRDefault="006D093D" w:rsidP="005F729A">
      <w:pPr>
        <w:tabs>
          <w:tab w:val="left" w:pos="993"/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729A">
        <w:rPr>
          <w:rFonts w:ascii="Times New Roman" w:hAnsi="Times New Roman" w:cs="Times New Roman"/>
          <w:b/>
          <w:bCs/>
          <w:sz w:val="28"/>
          <w:szCs w:val="28"/>
        </w:rPr>
        <w:t>3.4. Иные документы Банка России:</w:t>
      </w:r>
      <w:r w:rsidRPr="005F729A">
        <w:rPr>
          <w:rFonts w:ascii="Times New Roman" w:hAnsi="Times New Roman" w:cs="Times New Roman"/>
          <w:sz w:val="28"/>
          <w:szCs w:val="28"/>
        </w:rPr>
        <w:t xml:space="preserve"> Включают инструкции, определяющие условия защиты информации, и другие акты. Особое место занимают инструкции, устанавливающие обязательные банковские нормативы (например, Инструкции Банка России от 06.12.2017 № 183-И 15 и от 29.11.2019 № 199-И 16), которые являются ключевыми индикаторами экономической безопасности и финансовой устойчивости кредитных организаций.</w:t>
      </w:r>
    </w:p>
    <w:p w14:paraId="75595729" w14:textId="77777777" w:rsidR="006D093D" w:rsidRPr="005F729A" w:rsidRDefault="006D093D" w:rsidP="005F729A">
      <w:pPr>
        <w:tabs>
          <w:tab w:val="left" w:pos="993"/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729A">
        <w:rPr>
          <w:rFonts w:ascii="Times New Roman" w:hAnsi="Times New Roman" w:cs="Times New Roman"/>
          <w:sz w:val="28"/>
          <w:szCs w:val="28"/>
        </w:rPr>
        <w:t>Таким образом, несмотря на то, что Федеральный закон № 86-ФЗ возлагает на Банк России лишь обязанность обеспечить безопасность банковских переводов, регулятор де-факто принял комплекс нормативных актов, охватывающих значительно более широкий спектр вопросов информационной и экономической безопасности. Эта регулятивная экспансия является необходимой реакцией на динамично развивающийся ландшафт угроз и существующие пробелы в федеральном законодательстве. Банк России, используя свои нормотворческие полномочия, формирует детализированную и многоуровневую систему требований, которая обеспечивает адаптацию банковского сектора к новым вызовам, включая защиту от неправомерного доступа, хищения и модификации данных, что выходит за рамки исключительно противодействия несанкционированным переводам.</w:t>
      </w:r>
    </w:p>
    <w:p w14:paraId="7F71A57E" w14:textId="77777777" w:rsidR="006D093D" w:rsidRPr="005F729A" w:rsidRDefault="006D093D" w:rsidP="005F729A">
      <w:pPr>
        <w:tabs>
          <w:tab w:val="left" w:pos="993"/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729A">
        <w:rPr>
          <w:rFonts w:ascii="Times New Roman" w:hAnsi="Times New Roman" w:cs="Times New Roman"/>
          <w:b/>
          <w:bCs/>
          <w:sz w:val="28"/>
          <w:szCs w:val="28"/>
        </w:rPr>
        <w:t>Заключение</w:t>
      </w:r>
    </w:p>
    <w:p w14:paraId="45E6DEAA" w14:textId="77777777" w:rsidR="006D093D" w:rsidRPr="005F729A" w:rsidRDefault="006D093D" w:rsidP="005F729A">
      <w:pPr>
        <w:tabs>
          <w:tab w:val="left" w:pos="993"/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729A">
        <w:rPr>
          <w:rFonts w:ascii="Times New Roman" w:hAnsi="Times New Roman" w:cs="Times New Roman"/>
          <w:sz w:val="28"/>
          <w:szCs w:val="28"/>
        </w:rPr>
        <w:t>Проведенное исследование демонстрирует, что система обеспечения экономической и информационной безопасности кредитных организаций в Российской Федерации представляет собой многоуровневую и динамично развивающуюся структуру. Несмотря на то что федеральное законодательство, в частности Конституция РФ и Федеральный закон «О Центральном Банке…», закрепляет за Банком России основную функцию по обеспечению устойчивости рубля и лишь частично детализирует его роль в защите информации (в контексте банковских переводов), Банк России, во взаимодействии с ФСБ России и ФСТЭК России, фактически реализует гораздо более широкий спектр функций.</w:t>
      </w:r>
    </w:p>
    <w:p w14:paraId="44F8FE64" w14:textId="77777777" w:rsidR="006D093D" w:rsidRPr="005F729A" w:rsidRDefault="006D093D" w:rsidP="005F729A">
      <w:pPr>
        <w:tabs>
          <w:tab w:val="left" w:pos="993"/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729A">
        <w:rPr>
          <w:rFonts w:ascii="Times New Roman" w:hAnsi="Times New Roman" w:cs="Times New Roman"/>
          <w:sz w:val="28"/>
          <w:szCs w:val="28"/>
        </w:rPr>
        <w:t xml:space="preserve">Посредством разработки и внедрения стандартов, положений, рекомендаций и инструкций Банк России формирует детализированную и </w:t>
      </w:r>
      <w:r w:rsidRPr="005F729A">
        <w:rPr>
          <w:rFonts w:ascii="Times New Roman" w:hAnsi="Times New Roman" w:cs="Times New Roman"/>
          <w:sz w:val="28"/>
          <w:szCs w:val="28"/>
        </w:rPr>
        <w:lastRenderedPageBreak/>
        <w:t xml:space="preserve">обязательную к исполнению нормативную базу, которая компенсирует пробелы в федеральном законодательстве и охватывает широкий круг угроз экономической и информационной безопасности, выходящих за рамки только лишь противодействия несанкционированным переводам. Эта </w:t>
      </w:r>
      <w:proofErr w:type="spellStart"/>
      <w:r w:rsidRPr="005F729A">
        <w:rPr>
          <w:rFonts w:ascii="Times New Roman" w:hAnsi="Times New Roman" w:cs="Times New Roman"/>
          <w:sz w:val="28"/>
          <w:szCs w:val="28"/>
        </w:rPr>
        <w:t>проактивная</w:t>
      </w:r>
      <w:proofErr w:type="spellEnd"/>
      <w:r w:rsidRPr="005F729A">
        <w:rPr>
          <w:rFonts w:ascii="Times New Roman" w:hAnsi="Times New Roman" w:cs="Times New Roman"/>
          <w:sz w:val="28"/>
          <w:szCs w:val="28"/>
        </w:rPr>
        <w:t xml:space="preserve"> и адаптивная регулятивная деятельность Банка России является критически важной для поддержания стабильности банковской системы и защиты интересов клиентов в условиях постоянно меняющихся угроз. Дальнейшие исследования могут быть направлены на оценку эффективности этих регулятивных мер и возможности их имплементации в более высокий уровень федерального законодательства.</w:t>
      </w:r>
    </w:p>
    <w:p w14:paraId="1F442BFB" w14:textId="77777777" w:rsidR="006D093D" w:rsidRPr="00D44CB8" w:rsidRDefault="006D093D" w:rsidP="00F9576A">
      <w:pPr>
        <w:tabs>
          <w:tab w:val="left" w:pos="993"/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CB8">
        <w:rPr>
          <w:rFonts w:ascii="Times New Roman" w:hAnsi="Times New Roman" w:cs="Times New Roman"/>
          <w:b/>
          <w:bCs/>
          <w:sz w:val="28"/>
          <w:szCs w:val="28"/>
        </w:rPr>
        <w:t>Список литературы</w:t>
      </w:r>
    </w:p>
    <w:p w14:paraId="1557F402" w14:textId="77777777" w:rsidR="006D093D" w:rsidRPr="00D44CB8" w:rsidRDefault="006D093D" w:rsidP="00F9576A">
      <w:pPr>
        <w:pStyle w:val="a6"/>
        <w:numPr>
          <w:ilvl w:val="0"/>
          <w:numId w:val="7"/>
        </w:numPr>
        <w:tabs>
          <w:tab w:val="left" w:pos="993"/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CB8">
        <w:rPr>
          <w:rFonts w:ascii="Times New Roman" w:hAnsi="Times New Roman" w:cs="Times New Roman"/>
          <w:sz w:val="28"/>
          <w:szCs w:val="28"/>
        </w:rPr>
        <w:t xml:space="preserve">Конституция Российской Федерации (принята всенародным голосованием 12.12.1993 с изменениями, одобренными в ходе общероссийского голосования 01.07.2020) // Официальный интернет-портал правовой информации </w:t>
      </w:r>
      <w:hyperlink r:id="rId10" w:tgtFrame="_blank" w:history="1">
        <w:r w:rsidRPr="00D44CB8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http://pravo.gov.ru</w:t>
        </w:r>
      </w:hyperlink>
      <w:r w:rsidRPr="00D44CB8">
        <w:rPr>
          <w:rFonts w:ascii="Times New Roman" w:hAnsi="Times New Roman" w:cs="Times New Roman"/>
          <w:sz w:val="28"/>
          <w:szCs w:val="28"/>
        </w:rPr>
        <w:t>, 06.10.2022.</w:t>
      </w:r>
    </w:p>
    <w:p w14:paraId="6A38B090" w14:textId="77777777" w:rsidR="006D093D" w:rsidRPr="00D44CB8" w:rsidRDefault="006D093D" w:rsidP="00F9576A">
      <w:pPr>
        <w:pStyle w:val="a6"/>
        <w:numPr>
          <w:ilvl w:val="0"/>
          <w:numId w:val="7"/>
        </w:numPr>
        <w:tabs>
          <w:tab w:val="left" w:pos="993"/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CB8">
        <w:rPr>
          <w:rFonts w:ascii="Times New Roman" w:hAnsi="Times New Roman" w:cs="Times New Roman"/>
          <w:sz w:val="28"/>
          <w:szCs w:val="28"/>
        </w:rPr>
        <w:t>О Центральном банке Российской Федерации (Банке России): Федеральный закон от 10.07.2002 № 86-ФЗ (ред. от 08.08.2024) // Российская газета, № 127, 13.07.2002.</w:t>
      </w:r>
    </w:p>
    <w:p w14:paraId="1BDA7B3A" w14:textId="77777777" w:rsidR="006D093D" w:rsidRPr="00D44CB8" w:rsidRDefault="006D093D" w:rsidP="00F9576A">
      <w:pPr>
        <w:pStyle w:val="a6"/>
        <w:numPr>
          <w:ilvl w:val="0"/>
          <w:numId w:val="7"/>
        </w:numPr>
        <w:tabs>
          <w:tab w:val="left" w:pos="993"/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CB8">
        <w:rPr>
          <w:rFonts w:ascii="Times New Roman" w:hAnsi="Times New Roman" w:cs="Times New Roman"/>
          <w:sz w:val="28"/>
          <w:szCs w:val="28"/>
        </w:rPr>
        <w:t>О банках и банковской деятельности: Федеральный закон от 02.12.1990 № 395-1 (ред. от 08.08.2024) // Российская газета, № 27, 10.02.1996.</w:t>
      </w:r>
    </w:p>
    <w:p w14:paraId="27B61DAA" w14:textId="77777777" w:rsidR="006D093D" w:rsidRPr="00D44CB8" w:rsidRDefault="006D093D" w:rsidP="00F9576A">
      <w:pPr>
        <w:pStyle w:val="a6"/>
        <w:numPr>
          <w:ilvl w:val="0"/>
          <w:numId w:val="7"/>
        </w:numPr>
        <w:tabs>
          <w:tab w:val="left" w:pos="993"/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CB8">
        <w:rPr>
          <w:rFonts w:ascii="Times New Roman" w:hAnsi="Times New Roman" w:cs="Times New Roman"/>
          <w:sz w:val="28"/>
          <w:szCs w:val="28"/>
        </w:rPr>
        <w:t xml:space="preserve">Методический документ. Регламент включения информации об уязвимостях программного обеспечения и программно-аппаратных средств в банк данных угроз безопасности информации ФСТЭК России (утвержден ФСТЭК России 26.06.2018) [электронный ресурс]. Режим доступа: </w:t>
      </w:r>
      <w:hyperlink r:id="rId11" w:anchor="GOUxpySik0SJWdfA1" w:tgtFrame="_blank" w:history="1">
        <w:r w:rsidRPr="00D44CB8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http://www.consultant.ru/cons/cgi/online.cgi?req=doc&amp;cacheid=7E24A431890072AE0F355EE4E149C83C&amp;SORTTYPE=0&amp;BASENODE=1-1&amp;ts=FxLupySQxjMcJPOY&amp;base=LAW&amp;n=302201&amp;rnd=kah59w#GOUxpySik0SJWdfA1</w:t>
        </w:r>
      </w:hyperlink>
      <w:r w:rsidRPr="00D44CB8">
        <w:rPr>
          <w:rFonts w:ascii="Times New Roman" w:hAnsi="Times New Roman" w:cs="Times New Roman"/>
          <w:sz w:val="28"/>
          <w:szCs w:val="28"/>
        </w:rPr>
        <w:t xml:space="preserve"> (дата обращения – 12.10.2024 г.)</w:t>
      </w:r>
    </w:p>
    <w:p w14:paraId="109CC213" w14:textId="2A9E693E" w:rsidR="006D093D" w:rsidRPr="00D44CB8" w:rsidRDefault="006D093D" w:rsidP="00F9576A">
      <w:pPr>
        <w:pStyle w:val="a6"/>
        <w:numPr>
          <w:ilvl w:val="0"/>
          <w:numId w:val="7"/>
        </w:numPr>
        <w:tabs>
          <w:tab w:val="left" w:pos="993"/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CB8">
        <w:rPr>
          <w:rFonts w:ascii="Times New Roman" w:hAnsi="Times New Roman" w:cs="Times New Roman"/>
          <w:sz w:val="28"/>
          <w:szCs w:val="28"/>
        </w:rPr>
        <w:t>О лицензировании отдельных видов деятельности: Федеральный закон от 04.05.2011 № 99-ФЗ (ред. от 08.08.2024) // Парламентская газета, №</w:t>
      </w:r>
      <w:r w:rsidR="00D44CB8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D44CB8">
        <w:rPr>
          <w:rFonts w:ascii="Times New Roman" w:hAnsi="Times New Roman" w:cs="Times New Roman"/>
          <w:sz w:val="28"/>
          <w:szCs w:val="28"/>
        </w:rPr>
        <w:t>23, 13-19.05.2011.</w:t>
      </w:r>
    </w:p>
    <w:p w14:paraId="45A348B5" w14:textId="7A318BB4" w:rsidR="006D093D" w:rsidRPr="00D44CB8" w:rsidRDefault="006D093D" w:rsidP="008A7874">
      <w:pPr>
        <w:pStyle w:val="a6"/>
        <w:numPr>
          <w:ilvl w:val="0"/>
          <w:numId w:val="7"/>
        </w:numPr>
        <w:tabs>
          <w:tab w:val="left" w:pos="993"/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CB8">
        <w:rPr>
          <w:rFonts w:ascii="Times New Roman" w:hAnsi="Times New Roman" w:cs="Times New Roman"/>
          <w:sz w:val="28"/>
          <w:szCs w:val="28"/>
        </w:rPr>
        <w:t xml:space="preserve">Об утверждении Положения о лицензировании деятельности по разработке, производству, распространению шифровальных (криптографических) средств, информационных систем и телекоммуникационных систем, защищенных с использованием шифровальных (криптографических) средств, выполнению работ, оказанию услуг в области шифрования информации, техническому обслуживанию шифровальных (криптографических) средств, информационных систем и телекоммуникационных систем, защищенных с использованием шифровальных (криптографических) средств, за исключением случая, если техническое обслуживание шифровальных (криптографических) средств, </w:t>
      </w:r>
      <w:r w:rsidRPr="00D44CB8">
        <w:rPr>
          <w:rFonts w:ascii="Times New Roman" w:hAnsi="Times New Roman" w:cs="Times New Roman"/>
          <w:sz w:val="28"/>
          <w:szCs w:val="28"/>
        </w:rPr>
        <w:lastRenderedPageBreak/>
        <w:t>информационных систем и телекоммуникационных систем, защищенных с использованием шифровальных (криптографических) средств, осуществляется для обеспечения собственных нужд юридического лица или индивидуального предпринимателя): Постановление Правительства РФ от 16.04.2012 № 313</w:t>
      </w:r>
      <w:r w:rsidR="00D44CB8" w:rsidRPr="00D44CB8">
        <w:rPr>
          <w:rFonts w:ascii="Times New Roman" w:hAnsi="Times New Roman" w:cs="Times New Roman"/>
          <w:sz w:val="28"/>
          <w:szCs w:val="28"/>
        </w:rPr>
        <w:t xml:space="preserve"> </w:t>
      </w:r>
      <w:r w:rsidRPr="00D44CB8">
        <w:rPr>
          <w:rFonts w:ascii="Times New Roman" w:hAnsi="Times New Roman" w:cs="Times New Roman"/>
          <w:sz w:val="28"/>
          <w:szCs w:val="28"/>
        </w:rPr>
        <w:t>(ред. от 28.08.2023) // Собрание законодательства РФ, 23.04.2012, № 17, ст. 1987.</w:t>
      </w:r>
    </w:p>
    <w:p w14:paraId="24292AD0" w14:textId="77777777" w:rsidR="006D093D" w:rsidRPr="00D44CB8" w:rsidRDefault="006D093D" w:rsidP="00F9576A">
      <w:pPr>
        <w:pStyle w:val="a6"/>
        <w:numPr>
          <w:ilvl w:val="0"/>
          <w:numId w:val="7"/>
        </w:numPr>
        <w:tabs>
          <w:tab w:val="left" w:pos="993"/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CB8">
        <w:rPr>
          <w:rFonts w:ascii="Times New Roman" w:hAnsi="Times New Roman" w:cs="Times New Roman"/>
          <w:sz w:val="28"/>
          <w:szCs w:val="28"/>
        </w:rPr>
        <w:t>Стандарт Банка России “Обеспечение информационной безопасности организаций банковской системы Российской Федерации. Общие положения: СТО БР ИББС-1.0-2014 (принят и введен в действие Распоряжением Банка России от 17.05.2014 № Р-399) // Вестник Банка России, № 48-49, 30.05.2014.</w:t>
      </w:r>
    </w:p>
    <w:p w14:paraId="5A5C25FB" w14:textId="77777777" w:rsidR="006D093D" w:rsidRPr="00D44CB8" w:rsidRDefault="006D093D" w:rsidP="00F9576A">
      <w:pPr>
        <w:pStyle w:val="a6"/>
        <w:numPr>
          <w:ilvl w:val="0"/>
          <w:numId w:val="7"/>
        </w:numPr>
        <w:tabs>
          <w:tab w:val="left" w:pos="993"/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CB8">
        <w:rPr>
          <w:rFonts w:ascii="Times New Roman" w:hAnsi="Times New Roman" w:cs="Times New Roman"/>
          <w:sz w:val="28"/>
          <w:szCs w:val="28"/>
        </w:rPr>
        <w:t>Стандарт Банка России “Обеспечение информационной безопасности организаций банковской системы Российской Федерации. Методика оценки соответствия информационной безопасности организаций банковской системы Российской Федерации требованиям СТО БР ИББС-1.0-2014: СТО БР ИББС-1.2-2014 (принят и введен в действие Распоряжением Банка России от 17.05.2014 № Р-399) // Вестник Банка России, № 48-49, 30.05.2014.</w:t>
      </w:r>
    </w:p>
    <w:p w14:paraId="1C2A05C6" w14:textId="77777777" w:rsidR="006D093D" w:rsidRPr="00D44CB8" w:rsidRDefault="006D093D" w:rsidP="00F9576A">
      <w:pPr>
        <w:pStyle w:val="a6"/>
        <w:numPr>
          <w:ilvl w:val="0"/>
          <w:numId w:val="7"/>
        </w:numPr>
        <w:tabs>
          <w:tab w:val="left" w:pos="993"/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CB8">
        <w:rPr>
          <w:rFonts w:ascii="Times New Roman" w:hAnsi="Times New Roman" w:cs="Times New Roman"/>
          <w:sz w:val="28"/>
          <w:szCs w:val="28"/>
        </w:rPr>
        <w:t>Стандарт Банка России “Обеспечение информационной безопасности организаций банковской системы Российской Федерации. Аудит информационной безопасности” СТО БР ИББС-1.1-2007” (принят и введен в действие Распоряжением Банка России от 28.04.2007 № Р-345) // Вестник Банка России, № 29, 18.05.2007.</w:t>
      </w:r>
    </w:p>
    <w:p w14:paraId="132C2C83" w14:textId="77777777" w:rsidR="006D093D" w:rsidRPr="00D44CB8" w:rsidRDefault="006D093D" w:rsidP="00F9576A">
      <w:pPr>
        <w:pStyle w:val="a6"/>
        <w:numPr>
          <w:ilvl w:val="0"/>
          <w:numId w:val="7"/>
        </w:numPr>
        <w:tabs>
          <w:tab w:val="left" w:pos="993"/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CB8">
        <w:rPr>
          <w:rFonts w:ascii="Times New Roman" w:hAnsi="Times New Roman" w:cs="Times New Roman"/>
          <w:sz w:val="28"/>
          <w:szCs w:val="28"/>
        </w:rPr>
        <w:t>Стандарт Банка России “Обеспечение информационной безопасности организаций банковской системы Российской Федерации. Управление риском нарушения информационной безопасности при аутсорсинге” СТО БР ИББС-1.4-2018 (принят и введен в действие Приказом Банка России от 06.03.2018 № ОД-568) // Вестник Банка России, № 27, 30.03.2018.</w:t>
      </w:r>
    </w:p>
    <w:p w14:paraId="20B45E2E" w14:textId="77777777" w:rsidR="006D093D" w:rsidRPr="00D44CB8" w:rsidRDefault="006D093D" w:rsidP="00F9576A">
      <w:pPr>
        <w:pStyle w:val="a6"/>
        <w:numPr>
          <w:ilvl w:val="0"/>
          <w:numId w:val="7"/>
        </w:numPr>
        <w:tabs>
          <w:tab w:val="left" w:pos="993"/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CB8">
        <w:rPr>
          <w:rFonts w:ascii="Times New Roman" w:hAnsi="Times New Roman" w:cs="Times New Roman"/>
          <w:sz w:val="28"/>
          <w:szCs w:val="28"/>
        </w:rPr>
        <w:t>О требованиях к защите информации в платежной системе Банка России: Положение Банка России от 23.12.2020 № 747-П // Вестник Банка России, № 10, 24.02.2021.</w:t>
      </w:r>
    </w:p>
    <w:p w14:paraId="428DD437" w14:textId="77777777" w:rsidR="006D093D" w:rsidRPr="00D44CB8" w:rsidRDefault="006D093D" w:rsidP="00F9576A">
      <w:pPr>
        <w:pStyle w:val="a6"/>
        <w:numPr>
          <w:ilvl w:val="0"/>
          <w:numId w:val="7"/>
        </w:numPr>
        <w:tabs>
          <w:tab w:val="left" w:pos="993"/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CB8">
        <w:rPr>
          <w:rFonts w:ascii="Times New Roman" w:hAnsi="Times New Roman" w:cs="Times New Roman"/>
          <w:sz w:val="28"/>
          <w:szCs w:val="28"/>
        </w:rPr>
        <w:t>Об установлении обязательных для кредитных организаций требований к обеспечению защиты информации при осуществлении банковской деятельности в целях противодействия осуществлению переводов денежных средств без согласия клиента: Положение Банка России от 17.04.2019 № 683-П (Зарегистрировано в Минюсте России 16.05.2019 N 54637) // Вестник Банка России, № 33, 22.05.2019.</w:t>
      </w:r>
    </w:p>
    <w:p w14:paraId="56132316" w14:textId="77777777" w:rsidR="006D093D" w:rsidRPr="00D44CB8" w:rsidRDefault="006D093D" w:rsidP="00F9576A">
      <w:pPr>
        <w:pStyle w:val="a6"/>
        <w:numPr>
          <w:ilvl w:val="0"/>
          <w:numId w:val="7"/>
        </w:numPr>
        <w:tabs>
          <w:tab w:val="left" w:pos="993"/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CB8">
        <w:rPr>
          <w:rFonts w:ascii="Times New Roman" w:hAnsi="Times New Roman" w:cs="Times New Roman"/>
          <w:sz w:val="28"/>
          <w:szCs w:val="28"/>
        </w:rPr>
        <w:t>Рекомендации в области стандартизации Банка России “Обеспечение информационной безопасности организаций банковской системы Российской Федерации. Предотвращение утечек информации. РС БР ИББС-2.9-2016 (приняты и введены в действие Приказом Банка России от 11.04.2016 N ОД-1205) // Вестник Банка России, № 41, 27.04.2016.</w:t>
      </w:r>
    </w:p>
    <w:p w14:paraId="3735EC6B" w14:textId="77777777" w:rsidR="006D093D" w:rsidRPr="00D44CB8" w:rsidRDefault="006D093D" w:rsidP="00F9576A">
      <w:pPr>
        <w:pStyle w:val="a6"/>
        <w:numPr>
          <w:ilvl w:val="0"/>
          <w:numId w:val="7"/>
        </w:numPr>
        <w:tabs>
          <w:tab w:val="left" w:pos="993"/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CB8">
        <w:rPr>
          <w:rFonts w:ascii="Times New Roman" w:hAnsi="Times New Roman" w:cs="Times New Roman"/>
          <w:sz w:val="28"/>
          <w:szCs w:val="28"/>
        </w:rPr>
        <w:lastRenderedPageBreak/>
        <w:t>Об обязательных нормативах банков с базовой лицензией: Инструкция Банка России от 06.12.2017 № 183-И (ред. от 15.11.2023) // Вестник Банка России, № 20, 14.03.2018.</w:t>
      </w:r>
    </w:p>
    <w:p w14:paraId="2ABB8E27" w14:textId="77777777" w:rsidR="006D093D" w:rsidRPr="00D44CB8" w:rsidRDefault="006D093D" w:rsidP="00F9576A">
      <w:pPr>
        <w:pStyle w:val="a6"/>
        <w:numPr>
          <w:ilvl w:val="0"/>
          <w:numId w:val="7"/>
        </w:numPr>
        <w:tabs>
          <w:tab w:val="left" w:pos="993"/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CB8">
        <w:rPr>
          <w:rFonts w:ascii="Times New Roman" w:hAnsi="Times New Roman" w:cs="Times New Roman"/>
          <w:sz w:val="28"/>
          <w:szCs w:val="28"/>
        </w:rPr>
        <w:t>Об обязательных нормативах и надбавках к нормативам достаточности капитала банков с универсальной лицензией: Инструкция Банка России от 29.11.2019 № 199-И (ред. от 06.06.2023) // Вестник Банка России, № 11 - 12, 30.01.2020.</w:t>
      </w:r>
    </w:p>
    <w:p w14:paraId="1F310A26" w14:textId="77777777" w:rsidR="003E130F" w:rsidRPr="005F729A" w:rsidRDefault="003E130F" w:rsidP="005F729A">
      <w:pPr>
        <w:tabs>
          <w:tab w:val="left" w:pos="993"/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3E130F" w:rsidRPr="005F72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A4B4F"/>
    <w:multiLevelType w:val="multilevel"/>
    <w:tmpl w:val="D81C5F4C"/>
    <w:styleLink w:val="a"/>
    <w:lvl w:ilvl="0">
      <w:start w:val="1"/>
      <w:numFmt w:val="decimal"/>
      <w:lvlText w:val="%1."/>
      <w:lvlJc w:val="left"/>
      <w:pPr>
        <w:tabs>
          <w:tab w:val="num" w:pos="1021"/>
        </w:tabs>
        <w:ind w:left="0" w:firstLine="709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91"/>
        </w:tabs>
        <w:ind w:left="0" w:firstLine="709"/>
      </w:pPr>
      <w:rPr>
        <w:rFonts w:hint="default"/>
      </w:rPr>
    </w:lvl>
    <w:lvl w:ilvl="2">
      <w:start w:val="1"/>
      <w:numFmt w:val="decimal"/>
      <w:lvlText w:val="%3.%1.%2."/>
      <w:lvlJc w:val="left"/>
      <w:pPr>
        <w:tabs>
          <w:tab w:val="num" w:pos="1304"/>
        </w:tabs>
        <w:ind w:left="0" w:firstLine="709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709"/>
        </w:tabs>
        <w:ind w:left="0" w:firstLine="709"/>
      </w:pPr>
      <w:rPr>
        <w:rFonts w:hint="default"/>
      </w:rPr>
    </w:lvl>
  </w:abstractNum>
  <w:abstractNum w:abstractNumId="1" w15:restartNumberingAfterBreak="0">
    <w:nsid w:val="07142A67"/>
    <w:multiLevelType w:val="multilevel"/>
    <w:tmpl w:val="C2224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BA66BE4"/>
    <w:multiLevelType w:val="multilevel"/>
    <w:tmpl w:val="A2C296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0615A98"/>
    <w:multiLevelType w:val="hybridMultilevel"/>
    <w:tmpl w:val="9CEA66E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53B17221"/>
    <w:multiLevelType w:val="multilevel"/>
    <w:tmpl w:val="32AE93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AC04F7F"/>
    <w:multiLevelType w:val="multilevel"/>
    <w:tmpl w:val="0A12C3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D17409B"/>
    <w:multiLevelType w:val="multilevel"/>
    <w:tmpl w:val="8040A6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5"/>
  </w:num>
  <w:num w:numId="5">
    <w:abstractNumId w:val="2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5760"/>
    <w:rsid w:val="003E130F"/>
    <w:rsid w:val="004121C3"/>
    <w:rsid w:val="005E5760"/>
    <w:rsid w:val="005F008D"/>
    <w:rsid w:val="005F729A"/>
    <w:rsid w:val="006D093D"/>
    <w:rsid w:val="00826A98"/>
    <w:rsid w:val="00911D61"/>
    <w:rsid w:val="009D3A30"/>
    <w:rsid w:val="00C925A9"/>
    <w:rsid w:val="00CF7212"/>
    <w:rsid w:val="00D44CB8"/>
    <w:rsid w:val="00F95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63D215"/>
  <w15:chartTrackingRefBased/>
  <w15:docId w15:val="{914354A9-8D96-4300-891F-8276B40D7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numbering" w:customStyle="1" w:styleId="a">
    <w:name w:val="Нумерованный цифры"/>
    <w:basedOn w:val="a3"/>
    <w:uiPriority w:val="99"/>
    <w:rsid w:val="00C925A9"/>
    <w:pPr>
      <w:numPr>
        <w:numId w:val="1"/>
      </w:numPr>
    </w:pPr>
  </w:style>
  <w:style w:type="character" w:styleId="a4">
    <w:name w:val="Hyperlink"/>
    <w:basedOn w:val="a1"/>
    <w:uiPriority w:val="99"/>
    <w:unhideWhenUsed/>
    <w:rsid w:val="006D093D"/>
    <w:rPr>
      <w:color w:val="0563C1" w:themeColor="hyperlink"/>
      <w:u w:val="single"/>
    </w:rPr>
  </w:style>
  <w:style w:type="character" w:styleId="a5">
    <w:name w:val="Unresolved Mention"/>
    <w:basedOn w:val="a1"/>
    <w:uiPriority w:val="99"/>
    <w:semiHidden/>
    <w:unhideWhenUsed/>
    <w:rsid w:val="006D093D"/>
    <w:rPr>
      <w:color w:val="605E5C"/>
      <w:shd w:val="clear" w:color="auto" w:fill="E1DFDD"/>
    </w:rPr>
  </w:style>
  <w:style w:type="paragraph" w:styleId="a6">
    <w:name w:val="List Paragraph"/>
    <w:basedOn w:val="a0"/>
    <w:uiPriority w:val="34"/>
    <w:qFormat/>
    <w:rsid w:val="00F957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762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996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542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Colors" Target="diagrams/colors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diagramQuickStyle" Target="diagrams/quickStyle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diagramLayout" Target="diagrams/layout1.xml"/><Relationship Id="rId11" Type="http://schemas.openxmlformats.org/officeDocument/2006/relationships/hyperlink" Target="http://www.consultant.ru/cons/cgi/online.cgi?req=doc&amp;cacheid=7E24A431890072AE0F355EE4E149C83C&amp;SORTTYPE=0&amp;BASENODE=1-1&amp;ts=FxLupySQxjMcJPOY&amp;base=LAW&amp;n=302201&amp;rnd=kah59w" TargetMode="External"/><Relationship Id="rId5" Type="http://schemas.openxmlformats.org/officeDocument/2006/relationships/diagramData" Target="diagrams/data1.xml"/><Relationship Id="rId10" Type="http://schemas.openxmlformats.org/officeDocument/2006/relationships/hyperlink" Target="http://pravo.gov.ru" TargetMode="External"/><Relationship Id="rId4" Type="http://schemas.openxmlformats.org/officeDocument/2006/relationships/webSettings" Target="webSettings.xml"/><Relationship Id="rId9" Type="http://schemas.microsoft.com/office/2007/relationships/diagramDrawing" Target="diagrams/drawing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0_1">
  <dgm:title val=""/>
  <dgm:desc val=""/>
  <dgm:catLst>
    <dgm:cat type="mainScheme" pri="10100"/>
  </dgm:catLst>
  <dgm:styleLbl name="node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3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4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dk1">
        <a:alpha val="4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1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1">
        <a:shade val="8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1">
        <a:tint val="50000"/>
        <a:alpha val="4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CFA02FB6-187C-49B5-BD30-4E6F16BEB706}" type="doc">
      <dgm:prSet loTypeId="urn:microsoft.com/office/officeart/2005/8/layout/radial5" loCatId="relationship" qsTypeId="urn:microsoft.com/office/officeart/2005/8/quickstyle/simple1" qsCatId="simple" csTypeId="urn:microsoft.com/office/officeart/2005/8/colors/accent0_1" csCatId="mainScheme" phldr="1"/>
      <dgm:spPr/>
      <dgm:t>
        <a:bodyPr/>
        <a:lstStyle/>
        <a:p>
          <a:endParaRPr lang="ru-RU"/>
        </a:p>
      </dgm:t>
    </dgm:pt>
    <dgm:pt modelId="{0658D0E1-AA90-4E88-A95E-1BA00A74574C}">
      <dgm:prSet phldrT="[Текст]" custT="1"/>
      <dgm:spPr>
        <a:xfrm>
          <a:off x="2202770" y="2108368"/>
          <a:ext cx="1503134" cy="1503134"/>
        </a:xfrm>
        <a:prstGeom prst="ellipse">
          <a:avLst/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ru-RU" sz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Коммерческий банк</a:t>
          </a:r>
        </a:p>
      </dgm:t>
    </dgm:pt>
    <dgm:pt modelId="{5CB4BE2E-02AB-4CA5-AA62-0BBE54DA51A7}" type="parTrans" cxnId="{03FEB209-DD93-4077-9B8E-77125EE0AE8A}">
      <dgm:prSet/>
      <dgm:spPr/>
      <dgm:t>
        <a:bodyPr/>
        <a:lstStyle/>
        <a:p>
          <a:endParaRPr lang="ru-RU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B1B7E8D0-3200-4409-B230-549000669734}" type="sibTrans" cxnId="{03FEB209-DD93-4077-9B8E-77125EE0AE8A}">
      <dgm:prSet/>
      <dgm:spPr/>
      <dgm:t>
        <a:bodyPr/>
        <a:lstStyle/>
        <a:p>
          <a:endParaRPr lang="ru-RU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02F3751F-DBFC-4EB2-A3E0-B6549FF8053C}">
      <dgm:prSet phldrT="[Текст]" custT="1"/>
      <dgm:spPr>
        <a:xfrm>
          <a:off x="2202770" y="2905"/>
          <a:ext cx="1503134" cy="1503134"/>
        </a:xfrm>
        <a:prstGeom prst="ellipse">
          <a:avLst/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ru-RU" sz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Банк России</a:t>
          </a:r>
        </a:p>
      </dgm:t>
    </dgm:pt>
    <dgm:pt modelId="{35974A55-2D46-4D7B-AB6E-E467351C87F5}" type="parTrans" cxnId="{3A7CB9B4-6EFC-45B8-9E93-56956150A5EF}">
      <dgm:prSet custT="1"/>
      <dgm:spPr>
        <a:xfrm rot="5400000">
          <a:off x="2794720" y="1560706"/>
          <a:ext cx="319234" cy="511065"/>
        </a:xfrm>
        <a:prstGeom prst="rightArrow">
          <a:avLst>
            <a:gd name="adj1" fmla="val 60000"/>
            <a:gd name="adj2" fmla="val 50000"/>
          </a:avLst>
        </a:prstGeom>
        <a:solidFill>
          <a:sysClr val="windowText" lastClr="000000">
            <a:tint val="60000"/>
            <a:hueOff val="0"/>
            <a:satOff val="0"/>
            <a:lumOff val="0"/>
            <a:alphaOff val="0"/>
          </a:sysClr>
        </a:solidFill>
        <a:ln>
          <a:noFill/>
        </a:ln>
        <a:effectLst/>
      </dgm:spPr>
      <dgm:t>
        <a:bodyPr/>
        <a:lstStyle/>
        <a:p>
          <a:pPr>
            <a:buNone/>
          </a:pPr>
          <a:endParaRPr lang="ru-RU" sz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Times New Roman" panose="02020603050405020304" pitchFamily="18" charset="0"/>
            <a:ea typeface="+mn-ea"/>
            <a:cs typeface="Times New Roman" panose="02020603050405020304" pitchFamily="18" charset="0"/>
          </a:endParaRPr>
        </a:p>
      </dgm:t>
    </dgm:pt>
    <dgm:pt modelId="{7FED33AD-691B-4D2C-AE81-898A8A613646}" type="sibTrans" cxnId="{3A7CB9B4-6EFC-45B8-9E93-56956150A5EF}">
      <dgm:prSet/>
      <dgm:spPr/>
      <dgm:t>
        <a:bodyPr/>
        <a:lstStyle/>
        <a:p>
          <a:endParaRPr lang="ru-RU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6954087B-77A2-47B2-9BDA-7160A009EB5D}">
      <dgm:prSet phldrT="[Текст]" custT="1"/>
      <dgm:spPr>
        <a:xfrm>
          <a:off x="4026154" y="3161099"/>
          <a:ext cx="1503134" cy="1503134"/>
        </a:xfrm>
        <a:prstGeom prst="ellipse">
          <a:avLst/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ru-RU" sz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ФСБ</a:t>
          </a:r>
        </a:p>
      </dgm:t>
    </dgm:pt>
    <dgm:pt modelId="{3DDF24AE-1FC8-4899-87B9-B2F55CDC91FD}" type="parTrans" cxnId="{46FF3F5F-01B3-42A7-886D-72F5D97C6C3C}">
      <dgm:prSet custT="1"/>
      <dgm:spPr>
        <a:xfrm rot="12539354">
          <a:off x="3698588" y="3126251"/>
          <a:ext cx="319234" cy="511065"/>
        </a:xfrm>
        <a:prstGeom prst="rightArrow">
          <a:avLst>
            <a:gd name="adj1" fmla="val 60000"/>
            <a:gd name="adj2" fmla="val 50000"/>
          </a:avLst>
        </a:prstGeom>
        <a:solidFill>
          <a:sysClr val="windowText" lastClr="000000">
            <a:tint val="60000"/>
            <a:hueOff val="0"/>
            <a:satOff val="0"/>
            <a:lumOff val="0"/>
            <a:alphaOff val="0"/>
          </a:sysClr>
        </a:solidFill>
        <a:ln>
          <a:noFill/>
        </a:ln>
        <a:effectLst/>
      </dgm:spPr>
      <dgm:t>
        <a:bodyPr/>
        <a:lstStyle/>
        <a:p>
          <a:pPr>
            <a:buNone/>
          </a:pPr>
          <a:endParaRPr lang="ru-RU" sz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Times New Roman" panose="02020603050405020304" pitchFamily="18" charset="0"/>
            <a:ea typeface="+mn-ea"/>
            <a:cs typeface="Times New Roman" panose="02020603050405020304" pitchFamily="18" charset="0"/>
          </a:endParaRPr>
        </a:p>
      </dgm:t>
    </dgm:pt>
    <dgm:pt modelId="{253AF0ED-158A-4DB0-BDDB-48386059CCEE}" type="sibTrans" cxnId="{46FF3F5F-01B3-42A7-886D-72F5D97C6C3C}">
      <dgm:prSet/>
      <dgm:spPr/>
      <dgm:t>
        <a:bodyPr/>
        <a:lstStyle/>
        <a:p>
          <a:endParaRPr lang="ru-RU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2FF99D6F-62C7-4852-ADF0-4C217C248581}">
      <dgm:prSet phldrT="[Текст]" custT="1"/>
      <dgm:spPr>
        <a:xfrm>
          <a:off x="379385" y="3161099"/>
          <a:ext cx="1503134" cy="1503134"/>
        </a:xfrm>
        <a:prstGeom prst="ellipse">
          <a:avLst/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ru-RU" sz="1200" b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ФСТЭК</a:t>
          </a:r>
        </a:p>
      </dgm:t>
    </dgm:pt>
    <dgm:pt modelId="{BAD548F3-4986-4ECA-A29F-2BDF052DF070}" type="parTrans" cxnId="{187C159D-3329-4807-85DB-7C276DDE43EF}">
      <dgm:prSet custT="1"/>
      <dgm:spPr>
        <a:xfrm rot="19649796">
          <a:off x="1890852" y="3126251"/>
          <a:ext cx="319234" cy="511065"/>
        </a:xfrm>
        <a:prstGeom prst="rightArrow">
          <a:avLst>
            <a:gd name="adj1" fmla="val 60000"/>
            <a:gd name="adj2" fmla="val 50000"/>
          </a:avLst>
        </a:prstGeom>
        <a:solidFill>
          <a:sysClr val="windowText" lastClr="000000">
            <a:tint val="60000"/>
            <a:hueOff val="0"/>
            <a:satOff val="0"/>
            <a:lumOff val="0"/>
            <a:alphaOff val="0"/>
          </a:sysClr>
        </a:solidFill>
        <a:ln>
          <a:noFill/>
        </a:ln>
        <a:effectLst/>
      </dgm:spPr>
      <dgm:t>
        <a:bodyPr/>
        <a:lstStyle/>
        <a:p>
          <a:pPr>
            <a:buNone/>
          </a:pPr>
          <a:endParaRPr lang="ru-RU" sz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Times New Roman" panose="02020603050405020304" pitchFamily="18" charset="0"/>
            <a:ea typeface="+mn-ea"/>
            <a:cs typeface="Times New Roman" panose="02020603050405020304" pitchFamily="18" charset="0"/>
          </a:endParaRPr>
        </a:p>
      </dgm:t>
    </dgm:pt>
    <dgm:pt modelId="{30D60521-512C-48DD-8209-9BC7E3250CFE}" type="sibTrans" cxnId="{187C159D-3329-4807-85DB-7C276DDE43EF}">
      <dgm:prSet/>
      <dgm:spPr/>
      <dgm:t>
        <a:bodyPr/>
        <a:lstStyle/>
        <a:p>
          <a:endParaRPr lang="ru-RU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1B21B08B-0CC7-40DF-A990-8FED5626A9DF}" type="pres">
      <dgm:prSet presAssocID="{CFA02FB6-187C-49B5-BD30-4E6F16BEB706}" presName="Name0" presStyleCnt="0">
        <dgm:presLayoutVars>
          <dgm:chMax val="1"/>
          <dgm:dir/>
          <dgm:animLvl val="ctr"/>
          <dgm:resizeHandles val="exact"/>
        </dgm:presLayoutVars>
      </dgm:prSet>
      <dgm:spPr/>
    </dgm:pt>
    <dgm:pt modelId="{94E5F08E-8B6F-4621-ABBC-5BF4D8FDD02B}" type="pres">
      <dgm:prSet presAssocID="{0658D0E1-AA90-4E88-A95E-1BA00A74574C}" presName="centerShape" presStyleLbl="node0" presStyleIdx="0" presStyleCnt="1"/>
      <dgm:spPr/>
    </dgm:pt>
    <dgm:pt modelId="{89B5F2D7-9394-43E0-AA32-903AAC2578D1}" type="pres">
      <dgm:prSet presAssocID="{35974A55-2D46-4D7B-AB6E-E467351C87F5}" presName="parTrans" presStyleLbl="sibTrans2D1" presStyleIdx="0" presStyleCnt="3" custAng="10800000"/>
      <dgm:spPr/>
    </dgm:pt>
    <dgm:pt modelId="{64D37E51-0EDF-4E06-9E96-5E821FAA607C}" type="pres">
      <dgm:prSet presAssocID="{35974A55-2D46-4D7B-AB6E-E467351C87F5}" presName="connectorText" presStyleLbl="sibTrans2D1" presStyleIdx="0" presStyleCnt="3"/>
      <dgm:spPr/>
    </dgm:pt>
    <dgm:pt modelId="{EA9B5910-305F-40DE-B45C-BEC8E536F667}" type="pres">
      <dgm:prSet presAssocID="{02F3751F-DBFC-4EB2-A3E0-B6549FF8053C}" presName="node" presStyleLbl="node1" presStyleIdx="0" presStyleCnt="3">
        <dgm:presLayoutVars>
          <dgm:bulletEnabled val="1"/>
        </dgm:presLayoutVars>
      </dgm:prSet>
      <dgm:spPr/>
    </dgm:pt>
    <dgm:pt modelId="{5B698BAB-8812-4F21-A087-5A3513C63E4A}" type="pres">
      <dgm:prSet presAssocID="{3DDF24AE-1FC8-4899-87B9-B2F55CDC91FD}" presName="parTrans" presStyleLbl="sibTrans2D1" presStyleIdx="1" presStyleCnt="3" custAng="10739354"/>
      <dgm:spPr/>
    </dgm:pt>
    <dgm:pt modelId="{00192F05-DF83-4135-82E5-ACB5289D4572}" type="pres">
      <dgm:prSet presAssocID="{3DDF24AE-1FC8-4899-87B9-B2F55CDC91FD}" presName="connectorText" presStyleLbl="sibTrans2D1" presStyleIdx="1" presStyleCnt="3"/>
      <dgm:spPr/>
    </dgm:pt>
    <dgm:pt modelId="{8F8E91E5-F5D5-48CE-9879-19BCF21D1ADF}" type="pres">
      <dgm:prSet presAssocID="{6954087B-77A2-47B2-9BDA-7160A009EB5D}" presName="node" presStyleLbl="node1" presStyleIdx="1" presStyleCnt="3">
        <dgm:presLayoutVars>
          <dgm:bulletEnabled val="1"/>
        </dgm:presLayoutVars>
      </dgm:prSet>
      <dgm:spPr/>
    </dgm:pt>
    <dgm:pt modelId="{21BDB9F9-2484-4365-8E23-0B008AB22CE2}" type="pres">
      <dgm:prSet presAssocID="{BAD548F3-4986-4ECA-A29F-2BDF052DF070}" presName="parTrans" presStyleLbl="sibTrans2D1" presStyleIdx="2" presStyleCnt="3" custAng="10649796"/>
      <dgm:spPr/>
    </dgm:pt>
    <dgm:pt modelId="{11BA0614-BA9A-4754-8D85-E1F8B1506BA4}" type="pres">
      <dgm:prSet presAssocID="{BAD548F3-4986-4ECA-A29F-2BDF052DF070}" presName="connectorText" presStyleLbl="sibTrans2D1" presStyleIdx="2" presStyleCnt="3"/>
      <dgm:spPr/>
    </dgm:pt>
    <dgm:pt modelId="{DC8CE593-32C3-4FAD-886E-072C9BC7B013}" type="pres">
      <dgm:prSet presAssocID="{2FF99D6F-62C7-4852-ADF0-4C217C248581}" presName="node" presStyleLbl="node1" presStyleIdx="2" presStyleCnt="3">
        <dgm:presLayoutVars>
          <dgm:bulletEnabled val="1"/>
        </dgm:presLayoutVars>
      </dgm:prSet>
      <dgm:spPr/>
    </dgm:pt>
  </dgm:ptLst>
  <dgm:cxnLst>
    <dgm:cxn modelId="{5FA31104-47FF-4141-97DC-A2C7085856C3}" type="presOf" srcId="{35974A55-2D46-4D7B-AB6E-E467351C87F5}" destId="{64D37E51-0EDF-4E06-9E96-5E821FAA607C}" srcOrd="1" destOrd="0" presId="urn:microsoft.com/office/officeart/2005/8/layout/radial5"/>
    <dgm:cxn modelId="{03FEB209-DD93-4077-9B8E-77125EE0AE8A}" srcId="{CFA02FB6-187C-49B5-BD30-4E6F16BEB706}" destId="{0658D0E1-AA90-4E88-A95E-1BA00A74574C}" srcOrd="0" destOrd="0" parTransId="{5CB4BE2E-02AB-4CA5-AA62-0BBE54DA51A7}" sibTransId="{B1B7E8D0-3200-4409-B230-549000669734}"/>
    <dgm:cxn modelId="{46FF3F5F-01B3-42A7-886D-72F5D97C6C3C}" srcId="{0658D0E1-AA90-4E88-A95E-1BA00A74574C}" destId="{6954087B-77A2-47B2-9BDA-7160A009EB5D}" srcOrd="1" destOrd="0" parTransId="{3DDF24AE-1FC8-4899-87B9-B2F55CDC91FD}" sibTransId="{253AF0ED-158A-4DB0-BDDB-48386059CCEE}"/>
    <dgm:cxn modelId="{F8E0C66E-CE11-4113-A7F9-7E00DE9CA3D6}" type="presOf" srcId="{BAD548F3-4986-4ECA-A29F-2BDF052DF070}" destId="{11BA0614-BA9A-4754-8D85-E1F8B1506BA4}" srcOrd="1" destOrd="0" presId="urn:microsoft.com/office/officeart/2005/8/layout/radial5"/>
    <dgm:cxn modelId="{4724FB8A-16A7-41EF-8EFF-041537003E8A}" type="presOf" srcId="{2FF99D6F-62C7-4852-ADF0-4C217C248581}" destId="{DC8CE593-32C3-4FAD-886E-072C9BC7B013}" srcOrd="0" destOrd="0" presId="urn:microsoft.com/office/officeart/2005/8/layout/radial5"/>
    <dgm:cxn modelId="{187C159D-3329-4807-85DB-7C276DDE43EF}" srcId="{0658D0E1-AA90-4E88-A95E-1BA00A74574C}" destId="{2FF99D6F-62C7-4852-ADF0-4C217C248581}" srcOrd="2" destOrd="0" parTransId="{BAD548F3-4986-4ECA-A29F-2BDF052DF070}" sibTransId="{30D60521-512C-48DD-8209-9BC7E3250CFE}"/>
    <dgm:cxn modelId="{3A7CB9B4-6EFC-45B8-9E93-56956150A5EF}" srcId="{0658D0E1-AA90-4E88-A95E-1BA00A74574C}" destId="{02F3751F-DBFC-4EB2-A3E0-B6549FF8053C}" srcOrd="0" destOrd="0" parTransId="{35974A55-2D46-4D7B-AB6E-E467351C87F5}" sibTransId="{7FED33AD-691B-4D2C-AE81-898A8A613646}"/>
    <dgm:cxn modelId="{F1259DCB-EB19-434E-850C-7B10C9E6170A}" type="presOf" srcId="{0658D0E1-AA90-4E88-A95E-1BA00A74574C}" destId="{94E5F08E-8B6F-4621-ABBC-5BF4D8FDD02B}" srcOrd="0" destOrd="0" presId="urn:microsoft.com/office/officeart/2005/8/layout/radial5"/>
    <dgm:cxn modelId="{CF992BD0-0ACC-48FD-AD14-C74A414EFDE5}" type="presOf" srcId="{6954087B-77A2-47B2-9BDA-7160A009EB5D}" destId="{8F8E91E5-F5D5-48CE-9879-19BCF21D1ADF}" srcOrd="0" destOrd="0" presId="urn:microsoft.com/office/officeart/2005/8/layout/radial5"/>
    <dgm:cxn modelId="{C75EF2DC-70F5-4251-B1B1-3BF07F76C2D5}" type="presOf" srcId="{35974A55-2D46-4D7B-AB6E-E467351C87F5}" destId="{89B5F2D7-9394-43E0-AA32-903AAC2578D1}" srcOrd="0" destOrd="0" presId="urn:microsoft.com/office/officeart/2005/8/layout/radial5"/>
    <dgm:cxn modelId="{407D59DF-C8B3-4DC8-93B3-744BDAF9540E}" type="presOf" srcId="{3DDF24AE-1FC8-4899-87B9-B2F55CDC91FD}" destId="{5B698BAB-8812-4F21-A087-5A3513C63E4A}" srcOrd="0" destOrd="0" presId="urn:microsoft.com/office/officeart/2005/8/layout/radial5"/>
    <dgm:cxn modelId="{5A3538E0-C663-44C8-96EA-368850457DB2}" type="presOf" srcId="{CFA02FB6-187C-49B5-BD30-4E6F16BEB706}" destId="{1B21B08B-0CC7-40DF-A990-8FED5626A9DF}" srcOrd="0" destOrd="0" presId="urn:microsoft.com/office/officeart/2005/8/layout/radial5"/>
    <dgm:cxn modelId="{4BBAE2E5-2FA7-4B61-BADF-69F125C09EA7}" type="presOf" srcId="{02F3751F-DBFC-4EB2-A3E0-B6549FF8053C}" destId="{EA9B5910-305F-40DE-B45C-BEC8E536F667}" srcOrd="0" destOrd="0" presId="urn:microsoft.com/office/officeart/2005/8/layout/radial5"/>
    <dgm:cxn modelId="{4EB47DE8-4010-4076-A307-5EB82B114000}" type="presOf" srcId="{BAD548F3-4986-4ECA-A29F-2BDF052DF070}" destId="{21BDB9F9-2484-4365-8E23-0B008AB22CE2}" srcOrd="0" destOrd="0" presId="urn:microsoft.com/office/officeart/2005/8/layout/radial5"/>
    <dgm:cxn modelId="{6AC24AF7-5FF5-4B0E-8C60-D5D176E58C9B}" type="presOf" srcId="{3DDF24AE-1FC8-4899-87B9-B2F55CDC91FD}" destId="{00192F05-DF83-4135-82E5-ACB5289D4572}" srcOrd="1" destOrd="0" presId="urn:microsoft.com/office/officeart/2005/8/layout/radial5"/>
    <dgm:cxn modelId="{2399A654-376A-462C-9E91-AF96E33B4D50}" type="presParOf" srcId="{1B21B08B-0CC7-40DF-A990-8FED5626A9DF}" destId="{94E5F08E-8B6F-4621-ABBC-5BF4D8FDD02B}" srcOrd="0" destOrd="0" presId="urn:microsoft.com/office/officeart/2005/8/layout/radial5"/>
    <dgm:cxn modelId="{6EF87399-736E-4CF8-B162-58460F4FB1CD}" type="presParOf" srcId="{1B21B08B-0CC7-40DF-A990-8FED5626A9DF}" destId="{89B5F2D7-9394-43E0-AA32-903AAC2578D1}" srcOrd="1" destOrd="0" presId="urn:microsoft.com/office/officeart/2005/8/layout/radial5"/>
    <dgm:cxn modelId="{02E6B075-FA97-4960-B2EA-B47A0F16C1D1}" type="presParOf" srcId="{89B5F2D7-9394-43E0-AA32-903AAC2578D1}" destId="{64D37E51-0EDF-4E06-9E96-5E821FAA607C}" srcOrd="0" destOrd="0" presId="urn:microsoft.com/office/officeart/2005/8/layout/radial5"/>
    <dgm:cxn modelId="{A115C0A1-CEAC-4569-BCEA-632F40C81EC9}" type="presParOf" srcId="{1B21B08B-0CC7-40DF-A990-8FED5626A9DF}" destId="{EA9B5910-305F-40DE-B45C-BEC8E536F667}" srcOrd="2" destOrd="0" presId="urn:microsoft.com/office/officeart/2005/8/layout/radial5"/>
    <dgm:cxn modelId="{001AC6CA-D600-4CA8-9FC5-C32729AD0918}" type="presParOf" srcId="{1B21B08B-0CC7-40DF-A990-8FED5626A9DF}" destId="{5B698BAB-8812-4F21-A087-5A3513C63E4A}" srcOrd="3" destOrd="0" presId="urn:microsoft.com/office/officeart/2005/8/layout/radial5"/>
    <dgm:cxn modelId="{0E8CF591-3ADC-432C-9C1D-9C66DB3CC2B1}" type="presParOf" srcId="{5B698BAB-8812-4F21-A087-5A3513C63E4A}" destId="{00192F05-DF83-4135-82E5-ACB5289D4572}" srcOrd="0" destOrd="0" presId="urn:microsoft.com/office/officeart/2005/8/layout/radial5"/>
    <dgm:cxn modelId="{1925CFCA-ABF0-4656-B791-B06F8EE9F785}" type="presParOf" srcId="{1B21B08B-0CC7-40DF-A990-8FED5626A9DF}" destId="{8F8E91E5-F5D5-48CE-9879-19BCF21D1ADF}" srcOrd="4" destOrd="0" presId="urn:microsoft.com/office/officeart/2005/8/layout/radial5"/>
    <dgm:cxn modelId="{921AF587-1BC6-4676-B212-E6980161338B}" type="presParOf" srcId="{1B21B08B-0CC7-40DF-A990-8FED5626A9DF}" destId="{21BDB9F9-2484-4365-8E23-0B008AB22CE2}" srcOrd="5" destOrd="0" presId="urn:microsoft.com/office/officeart/2005/8/layout/radial5"/>
    <dgm:cxn modelId="{C48D1CF6-C638-49D4-BD75-FB1699F2E2C7}" type="presParOf" srcId="{21BDB9F9-2484-4365-8E23-0B008AB22CE2}" destId="{11BA0614-BA9A-4754-8D85-E1F8B1506BA4}" srcOrd="0" destOrd="0" presId="urn:microsoft.com/office/officeart/2005/8/layout/radial5"/>
    <dgm:cxn modelId="{E1E7A659-BD54-41A5-A2FC-7B24B5D9BD2A}" type="presParOf" srcId="{1B21B08B-0CC7-40DF-A990-8FED5626A9DF}" destId="{DC8CE593-32C3-4FAD-886E-072C9BC7B013}" srcOrd="6" destOrd="0" presId="urn:microsoft.com/office/officeart/2005/8/layout/radial5"/>
  </dgm:cxnLst>
  <dgm:bg/>
  <dgm:whole/>
  <dgm:extLst>
    <a:ext uri="http://schemas.microsoft.com/office/drawing/2008/diagram">
      <dsp:dataModelExt xmlns:dsp="http://schemas.microsoft.com/office/drawing/2008/diagram" relId="rId9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94E5F08E-8B6F-4621-ABBC-5BF4D8FDD02B}">
      <dsp:nvSpPr>
        <dsp:cNvPr id="0" name=""/>
        <dsp:cNvSpPr/>
      </dsp:nvSpPr>
      <dsp:spPr>
        <a:xfrm>
          <a:off x="2202770" y="2108046"/>
          <a:ext cx="1503134" cy="1503134"/>
        </a:xfrm>
        <a:prstGeom prst="ellipse">
          <a:avLst/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5240" tIns="15240" rIns="15240" bIns="1524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2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Коммерческий банк</a:t>
          </a:r>
        </a:p>
      </dsp:txBody>
      <dsp:txXfrm>
        <a:off x="2422899" y="2328175"/>
        <a:ext cx="1062876" cy="1062876"/>
      </dsp:txXfrm>
    </dsp:sp>
    <dsp:sp modelId="{89B5F2D7-9394-43E0-AA32-903AAC2578D1}">
      <dsp:nvSpPr>
        <dsp:cNvPr id="0" name=""/>
        <dsp:cNvSpPr/>
      </dsp:nvSpPr>
      <dsp:spPr>
        <a:xfrm rot="5400000">
          <a:off x="2794783" y="1560499"/>
          <a:ext cx="319108" cy="511065"/>
        </a:xfrm>
        <a:prstGeom prst="rightArrow">
          <a:avLst>
            <a:gd name="adj1" fmla="val 60000"/>
            <a:gd name="adj2" fmla="val 50000"/>
          </a:avLst>
        </a:prstGeom>
        <a:solidFill>
          <a:sysClr val="windowText" lastClr="000000">
            <a:tint val="60000"/>
            <a:hueOff val="0"/>
            <a:satOff val="0"/>
            <a:lumOff val="0"/>
            <a:alphaOff val="0"/>
          </a:sys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ru-RU" sz="12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Times New Roman" panose="02020603050405020304" pitchFamily="18" charset="0"/>
            <a:ea typeface="+mn-ea"/>
            <a:cs typeface="Times New Roman" panose="02020603050405020304" pitchFamily="18" charset="0"/>
          </a:endParaRPr>
        </a:p>
      </dsp:txBody>
      <dsp:txXfrm>
        <a:off x="2842649" y="1614846"/>
        <a:ext cx="223376" cy="306639"/>
      </dsp:txXfrm>
    </dsp:sp>
    <dsp:sp modelId="{EA9B5910-305F-40DE-B45C-BEC8E536F667}">
      <dsp:nvSpPr>
        <dsp:cNvPr id="0" name=""/>
        <dsp:cNvSpPr/>
      </dsp:nvSpPr>
      <dsp:spPr>
        <a:xfrm>
          <a:off x="2202770" y="2820"/>
          <a:ext cx="1503134" cy="1503134"/>
        </a:xfrm>
        <a:prstGeom prst="ellipse">
          <a:avLst/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5240" tIns="15240" rIns="15240" bIns="1524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2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Банк России</a:t>
          </a:r>
        </a:p>
      </dsp:txBody>
      <dsp:txXfrm>
        <a:off x="2422899" y="222949"/>
        <a:ext cx="1062876" cy="1062876"/>
      </dsp:txXfrm>
    </dsp:sp>
    <dsp:sp modelId="{5B698BAB-8812-4F21-A087-5A3513C63E4A}">
      <dsp:nvSpPr>
        <dsp:cNvPr id="0" name=""/>
        <dsp:cNvSpPr/>
      </dsp:nvSpPr>
      <dsp:spPr>
        <a:xfrm rot="12539354">
          <a:off x="3698551" y="3125872"/>
          <a:ext cx="319108" cy="511065"/>
        </a:xfrm>
        <a:prstGeom prst="rightArrow">
          <a:avLst>
            <a:gd name="adj1" fmla="val 60000"/>
            <a:gd name="adj2" fmla="val 50000"/>
          </a:avLst>
        </a:prstGeom>
        <a:solidFill>
          <a:sysClr val="windowText" lastClr="000000">
            <a:tint val="60000"/>
            <a:hueOff val="0"/>
            <a:satOff val="0"/>
            <a:lumOff val="0"/>
            <a:alphaOff val="0"/>
          </a:sys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ru-RU" sz="12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Times New Roman" panose="02020603050405020304" pitchFamily="18" charset="0"/>
            <a:ea typeface="+mn-ea"/>
            <a:cs typeface="Times New Roman" panose="02020603050405020304" pitchFamily="18" charset="0"/>
          </a:endParaRPr>
        </a:p>
      </dsp:txBody>
      <dsp:txXfrm>
        <a:off x="3788286" y="3251283"/>
        <a:ext cx="223376" cy="306639"/>
      </dsp:txXfrm>
    </dsp:sp>
    <dsp:sp modelId="{8F8E91E5-F5D5-48CE-9879-19BCF21D1ADF}">
      <dsp:nvSpPr>
        <dsp:cNvPr id="0" name=""/>
        <dsp:cNvSpPr/>
      </dsp:nvSpPr>
      <dsp:spPr>
        <a:xfrm>
          <a:off x="4025949" y="3160659"/>
          <a:ext cx="1503134" cy="1503134"/>
        </a:xfrm>
        <a:prstGeom prst="ellipse">
          <a:avLst/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5240" tIns="15240" rIns="15240" bIns="1524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2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ФСБ</a:t>
          </a:r>
        </a:p>
      </dsp:txBody>
      <dsp:txXfrm>
        <a:off x="4246078" y="3380788"/>
        <a:ext cx="1062876" cy="1062876"/>
      </dsp:txXfrm>
    </dsp:sp>
    <dsp:sp modelId="{21BDB9F9-2484-4365-8E23-0B008AB22CE2}">
      <dsp:nvSpPr>
        <dsp:cNvPr id="0" name=""/>
        <dsp:cNvSpPr/>
      </dsp:nvSpPr>
      <dsp:spPr>
        <a:xfrm rot="19649796">
          <a:off x="1891014" y="3125872"/>
          <a:ext cx="319108" cy="511065"/>
        </a:xfrm>
        <a:prstGeom prst="rightArrow">
          <a:avLst>
            <a:gd name="adj1" fmla="val 60000"/>
            <a:gd name="adj2" fmla="val 50000"/>
          </a:avLst>
        </a:prstGeom>
        <a:solidFill>
          <a:sysClr val="windowText" lastClr="000000">
            <a:tint val="60000"/>
            <a:hueOff val="0"/>
            <a:satOff val="0"/>
            <a:lumOff val="0"/>
            <a:alphaOff val="0"/>
          </a:sys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ru-RU" sz="12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Times New Roman" panose="02020603050405020304" pitchFamily="18" charset="0"/>
            <a:ea typeface="+mn-ea"/>
            <a:cs typeface="Times New Roman" panose="02020603050405020304" pitchFamily="18" charset="0"/>
          </a:endParaRPr>
        </a:p>
      </dsp:txBody>
      <dsp:txXfrm rot="10800000">
        <a:off x="1898512" y="3253806"/>
        <a:ext cx="223376" cy="306639"/>
      </dsp:txXfrm>
    </dsp:sp>
    <dsp:sp modelId="{DC8CE593-32C3-4FAD-886E-072C9BC7B013}">
      <dsp:nvSpPr>
        <dsp:cNvPr id="0" name=""/>
        <dsp:cNvSpPr/>
      </dsp:nvSpPr>
      <dsp:spPr>
        <a:xfrm>
          <a:off x="379590" y="3160659"/>
          <a:ext cx="1503134" cy="1503134"/>
        </a:xfrm>
        <a:prstGeom prst="ellipse">
          <a:avLst/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5240" tIns="15240" rIns="15240" bIns="1524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200" b="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ФСТЭК</a:t>
          </a:r>
        </a:p>
      </dsp:txBody>
      <dsp:txXfrm>
        <a:off x="599719" y="3380788"/>
        <a:ext cx="1062876" cy="1062876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radial5">
  <dgm:title val=""/>
  <dgm:desc val=""/>
  <dgm:catLst>
    <dgm:cat type="relationship" pri="23000"/>
    <dgm:cat type="cycle" pri="11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  <dgm:pt modelId="14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  <dgm:cxn modelId="6" srcId="1" destId="14" srcOrd="3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  <dgm:pt modelId="13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12"/>
        <dgm:pt modelId="13"/>
        <dgm:pt modelId="14"/>
        <dgm:pt modelId="15"/>
        <dgm:pt modelId="16"/>
      </dgm:ptLst>
      <dgm:cxnLst>
        <dgm:cxn modelId="2" srcId="0" destId="1" srcOrd="0" destOrd="0"/>
        <dgm:cxn modelId="16" srcId="1" destId="11" srcOrd="0" destOrd="0"/>
        <dgm:cxn modelId="17" srcId="1" destId="12" srcOrd="1" destOrd="0"/>
        <dgm:cxn modelId="18" srcId="1" destId="13" srcOrd="2" destOrd="0"/>
        <dgm:cxn modelId="19" srcId="1" destId="14" srcOrd="3" destOrd="0"/>
        <dgm:cxn modelId="20" srcId="1" destId="15" srcOrd="4" destOrd="0"/>
        <dgm:cxn modelId="21" srcId="1" destId="16" srcOrd="5" destOrd="0"/>
      </dgm:cxnLst>
      <dgm:bg/>
      <dgm:whole/>
    </dgm:dataModel>
  </dgm:clrData>
  <dgm:layoutNode name="Name0">
    <dgm:varLst>
      <dgm:chMax val="1"/>
      <dgm:dir/>
      <dgm:animLvl val="ctr"/>
      <dgm:resizeHandles val="exact"/>
    </dgm:varLst>
    <dgm:choose name="Name1">
      <dgm:if name="Name2" func="var" arg="dir" op="equ" val="norm">
        <dgm:alg type="cycle">
          <dgm:param type="stAng" val="0"/>
          <dgm:param type="spanAng" val="360"/>
          <dgm:param type="ctrShpMap" val="fNode"/>
        </dgm:alg>
      </dgm:if>
      <dgm:else name="Name3">
        <dgm:alg type="cycle">
          <dgm:param type="stAng" val="0"/>
          <dgm:param type="spanAng" val="-360"/>
          <dgm:param type="ctrShpMap" val="fNode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centerShape" refType="w"/>
      <dgm:constr type="w" for="ch" forName="parTrans" refType="w" refFor="ch" refForName="centerShape" fact="0.4"/>
      <dgm:constr type="w" for="ch" forName="node" refType="w" refFor="ch" refForName="centerShape" op="equ" fact="1.25"/>
      <dgm:constr type="sp" refType="w" refFor="ch" refForName="centerShape" op="equ" fact="0.4"/>
      <dgm:constr type="sibSp" refType="w" refFor="ch" refForName="node" fact="0.3"/>
      <dgm:constr type="primFontSz" for="ch" forName="centerShape" val="65"/>
      <dgm:constr type="primFontSz" for="des" forName="node" op="equ" val="65"/>
      <dgm:constr type="primFontSz" for="des" forName="node" refType="primFontSz" refFor="ch" refForName="centerShape" op="lte"/>
      <dgm:constr type="primFontSz" for="des" forName="connectorText" op="equ" val="55"/>
      <dgm:constr type="primFontSz" for="des" forName="connectorText" refType="primFontSz" refFor="ch" refForName="centerShape" op="lte" fact="0.8"/>
      <dgm:constr type="primFontSz" for="des" forName="connectorText" refType="primFontSz" refFor="des" refForName="node" op="lte"/>
    </dgm:constrLst>
    <dgm:choose name="Name4">
      <dgm:if name="Name5" axis="ch ch" ptType="node node" st="1 1" cnt="1 0" func="cnt" op="lte" val="6">
        <dgm:ruleLst>
          <dgm:rule type="w" for="ch" forName="node" val="NaN" fact="1" max="NaN"/>
        </dgm:ruleLst>
      </dgm:if>
      <dgm:if name="Name6" axis="ch ch" ptType="node node" st="1 1" cnt="1 0" func="cnt" op="lte" val="8">
        <dgm:ruleLst>
          <dgm:rule type="w" for="ch" forName="node" val="NaN" fact="0.9" max="NaN"/>
        </dgm:ruleLst>
      </dgm:if>
      <dgm:if name="Name7" axis="ch ch" ptType="node node" st="1 1" cnt="1 0" func="cnt" op="lte" val="10">
        <dgm:ruleLst>
          <dgm:rule type="w" for="ch" forName="node" val="NaN" fact="0.8" max="NaN"/>
        </dgm:ruleLst>
      </dgm:if>
      <dgm:if name="Name8" axis="ch ch" ptType="node node" st="1 1" cnt="1 0" func="cnt" op="lte" val="12">
        <dgm:ruleLst>
          <dgm:rule type="w" for="ch" forName="node" val="NaN" fact="0.7" max="NaN"/>
        </dgm:ruleLst>
      </dgm:if>
      <dgm:if name="Name9" axis="ch ch" ptType="node node" st="1 1" cnt="1 0" func="cnt" op="lte" val="14">
        <dgm:ruleLst>
          <dgm:rule type="w" for="ch" forName="node" val="NaN" fact="0.6" max="NaN"/>
        </dgm:ruleLst>
      </dgm:if>
      <dgm:else name="Name10">
        <dgm:ruleLst>
          <dgm:rule type="w" for="ch" forName="node" val="NaN" fact="0.5" max="NaN"/>
        </dgm:ruleLst>
      </dgm:else>
    </dgm:choose>
    <dgm:forEach name="Name11" axis="ch" ptType="node" cnt="1">
      <dgm:layoutNode name="centerShape" styleLbl="node0">
        <dgm:alg type="tx"/>
        <dgm:shape xmlns:r="http://schemas.openxmlformats.org/officeDocument/2006/relationships" type="ellipse" r:blip="">
          <dgm:adjLst/>
        </dgm:shape>
        <dgm:presOf axis="self"/>
        <dgm:constrLst>
          <dgm:constr type="h" refType="w"/>
          <dgm:constr type="tMarg" refType="primFontSz" fact="0.1"/>
          <dgm:constr type="bMarg" refType="primFontSz" fact="0.1"/>
          <dgm:constr type="lMarg" refType="primFontSz" fact="0.1"/>
          <dgm:constr type="rMarg" refType="primFontSz" fact="0.1"/>
        </dgm:constrLst>
        <dgm:ruleLst>
          <dgm:rule type="primFontSz" val="5" fact="NaN" max="NaN"/>
        </dgm:ruleLst>
      </dgm:layoutNode>
      <dgm:forEach name="Name12" axis="ch">
        <dgm:forEach name="Name13" axis="self" ptType="parTrans">
          <dgm:layoutNode name="parTrans" styleLbl="sibTrans2D1">
            <dgm:alg type="conn">
              <dgm:param type="begPts" val="auto"/>
              <dgm:param type="endPts" val="auto"/>
            </dgm:alg>
            <dgm:shape xmlns:r="http://schemas.openxmlformats.org/officeDocument/2006/relationships" type="conn" r:blip="">
              <dgm:adjLst/>
            </dgm:shape>
            <dgm:presOf axis="self"/>
            <dgm:constrLst>
              <dgm:constr type="h" refType="w" fact="0.85"/>
            </dgm:constrLst>
            <dgm:ruleLst/>
            <dgm:layoutNode name="connectorText">
              <dgm:alg type="tx">
                <dgm:param type="autoTxRot" val="grav"/>
              </dgm:alg>
              <dgm:shape xmlns:r="http://schemas.openxmlformats.org/officeDocument/2006/relationships" type="conn" r:blip="" hideGeom="1">
                <dgm:adjLst/>
              </dgm:shape>
              <dgm:presOf axis="self"/>
              <dgm:constrLst>
                <dgm:constr type="lMarg"/>
                <dgm:constr type="rMarg"/>
                <dgm:constr type="tMarg"/>
                <dgm:constr type="bMarg"/>
              </dgm:constrLst>
              <dgm:ruleLst>
                <dgm:rule type="primFontSz" val="5" fact="NaN" max="NaN"/>
              </dgm:ruleLst>
            </dgm:layoutNode>
          </dgm:layoutNode>
        </dgm:forEach>
        <dgm:forEach name="Name14" axis="self" ptType="node">
          <dgm:layoutNode name="node" styleLbl="node1">
            <dgm:varLst>
              <dgm:bulletEnabled val="1"/>
            </dgm:varLst>
            <dgm:alg type="tx">
              <dgm:param type="txAnchorVertCh" val="mid"/>
            </dgm:alg>
            <dgm:shape xmlns:r="http://schemas.openxmlformats.org/officeDocument/2006/relationships" type="ellipse" r:blip="">
              <dgm:adjLst/>
            </dgm:shape>
            <dgm:presOf axis="desOrSelf" ptType="node"/>
            <dgm:constrLst>
              <dgm:constr type="h" refType="w"/>
              <dgm:constr type="tMarg" refType="primFontSz" fact="0.1"/>
              <dgm:constr type="bMarg" refType="primFontSz" fact="0.1"/>
              <dgm:constr type="lMarg" refType="primFontSz" fact="0.1"/>
              <dgm:constr type="rMarg" refType="primFontSz" fact="0.1"/>
            </dgm:constrLst>
            <dgm:ruleLst>
              <dgm:rule type="w" val="INF" fact="NaN" max="NaN"/>
              <dgm:rule type="primFontSz" val="5" fact="NaN" max="NaN"/>
            </dgm:ruleLst>
          </dgm:layoutNode>
        </dgm:forEach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9</Pages>
  <Words>2581</Words>
  <Characters>14714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Яков Мадатов</dc:creator>
  <cp:keywords/>
  <dc:description/>
  <cp:lastModifiedBy>Яков Мадатов</cp:lastModifiedBy>
  <cp:revision>2</cp:revision>
  <dcterms:created xsi:type="dcterms:W3CDTF">2025-09-30T14:54:00Z</dcterms:created>
  <dcterms:modified xsi:type="dcterms:W3CDTF">2025-09-30T15:02:00Z</dcterms:modified>
</cp:coreProperties>
</file>