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CF6B" w14:textId="30873F86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УДК:</w:t>
      </w:r>
      <w:r w:rsidRPr="00300AC1">
        <w:rPr>
          <w:rFonts w:ascii="Times New Roman" w:hAnsi="Times New Roman" w:cs="Times New Roman"/>
          <w:sz w:val="28"/>
          <w:szCs w:val="28"/>
        </w:rPr>
        <w:t xml:space="preserve"> 338.2:330.131.7:620.9 </w:t>
      </w:r>
    </w:p>
    <w:p w14:paraId="3E58E1C9" w14:textId="4DB731A5" w:rsid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caps/>
          <w:sz w:val="28"/>
          <w:szCs w:val="28"/>
        </w:rPr>
        <w:t>Нормативно-правовые основы обеспечения экономической безопасности предприятий энергетического комплекса Российской Федерации: системный анализ и стратегическое значение</w:t>
      </w:r>
    </w:p>
    <w:p w14:paraId="07F85B3D" w14:textId="427A9A8B" w:rsidR="00495AAF" w:rsidRPr="00300AC1" w:rsidRDefault="00495AAF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Мадатов Яков Георгиевич,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к.ю.н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., доцент</w:t>
      </w:r>
    </w:p>
    <w:p w14:paraId="11303FA7" w14:textId="77777777" w:rsidR="00495AAF" w:rsidRDefault="00495AAF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DAB269" w14:textId="74879A1D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Аннотация:</w:t>
      </w:r>
      <w:r w:rsidRPr="00300AC1">
        <w:rPr>
          <w:rFonts w:ascii="Times New Roman" w:hAnsi="Times New Roman" w:cs="Times New Roman"/>
          <w:sz w:val="28"/>
          <w:szCs w:val="28"/>
        </w:rPr>
        <w:t xml:space="preserve"> Настоящая статья представляет собой углубленный системный анализ нормативно-правовых основ обеспечения экономической безопасности предприятий энергетического комплекса Российской Федерации. Исследование фокусируется на выявлении и систематизации правовых механизмов, формирующих регулятивную среду для защиты критически важной энергетической инфраструктуры. Проводится анализ ключевых федеральных законов, раскрывающих сущностные понятия, принципы, цели и задачи обеспечения безопасности объектов топливно-энергетического комплекса (ТЭК). Особое внимание уделяется корреляции положений законодательства с концептуальными основами экономической безопасности и управления рисками, а также подчеркивается стратегическое значение отрасли в контексте национальной безопасности и устойчивого экономического развития. Выводы работы демонстрируют комплексный характер правового регулирования, направленного на минимизацию угроз и обеспечение операционной устойчивости энергетического сектора.</w:t>
      </w:r>
    </w:p>
    <w:p w14:paraId="4AFB508B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 w:rsidRPr="00300AC1">
        <w:rPr>
          <w:rFonts w:ascii="Times New Roman" w:hAnsi="Times New Roman" w:cs="Times New Roman"/>
          <w:sz w:val="28"/>
          <w:szCs w:val="28"/>
        </w:rPr>
        <w:t xml:space="preserve"> экономическая безопасность, энергетический комплекс, топливно-энергетический комплекс, нормативно-правовое регулирование, управление рисками, критическая инфраструктура, антитеррористическая защищенность, физическая защита, информационная безопасность.</w:t>
      </w:r>
    </w:p>
    <w:p w14:paraId="0F243F93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7CA79854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Обеспечение экономической безопасности предприятий энергетического комплекса является императивом государственной политики и корпоративного управления, что обусловлено имманентным стратегическим значением отрасли для функционирования национальной экономики и поддержания социальной стабильности. В условиях возрастающей геополитической турбулентности, технологических трансформаций и нарастающих вызовов в сфере кибербезопасности, правовое регулирование данной сферы приобретает особую актуальность, характеризуясь системным и многоуровневым подходом. Целью данной статьи является проведение комплексного анализа действующего законодательства Российской </w:t>
      </w:r>
      <w:r w:rsidRPr="00300AC1">
        <w:rPr>
          <w:rFonts w:ascii="Times New Roman" w:hAnsi="Times New Roman" w:cs="Times New Roman"/>
          <w:sz w:val="28"/>
          <w:szCs w:val="28"/>
        </w:rPr>
        <w:lastRenderedPageBreak/>
        <w:t>Федерации, выявление его концептуальных основ в контексте экономической безопасности и управления рисками, а также аргументация стратегического значения энергетического сектора для устойчивого развития государства.</w:t>
      </w:r>
    </w:p>
    <w:p w14:paraId="448BDBFB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Постановка проблемы детерминируется необходимостью систематизации и углубления понимания правовых механизмов, регулирующих безопасность критической энергетической инфраструктуры. Актуальность исследования обусловлена не только потребностью в обеспечении непрерывности поставок энергоресурсов, но и в защите активов предприятий от актов незаконного вмешательства, способных вызвать системные сбои, макроэкономическую дестабилизацию и значительные финансовые потери. Методологической основой исследования послужили методы системного анализа, правовой интерпретации, компаративного и логического подходов, что позволило выявить взаимосвязи между различными нормативно-правовыми актами и концепциями экономической безопасности.</w:t>
      </w:r>
    </w:p>
    <w:p w14:paraId="448303A0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1. Концептуальные основы энергетической безопасности как компонента экономической безопасности</w:t>
      </w:r>
    </w:p>
    <w:p w14:paraId="712EE9FD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Энергетический комплекс Российской Федерации представляет собой системообразующий элемент национальной экономики, обеспечивающий функционирование всех прочих отраслей, а также жизнедеятельность населения. Его стратегическое значение детерминируется как ролью основного экспортера энергоресурсов, так и критической важностью для внутреннего потребления. В этой связи, энергетическая безопасность выступает неотъемлемой частью экономической безопасности государства, определяемой как состояние защищенности национальных экономических интересов от внутренних и внешних угроз.</w:t>
      </w:r>
    </w:p>
    <w:p w14:paraId="2FD37916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Экономическая безопасность предприятий энергетического комплекса, таким образом, является многомерным конструктом, включающим в себя финансовую устойчивость, операционную надежность, технологическую независимость и защищенность от противоправных посягательств. Современные вызовы, такие как терроризм, кибератаки, саботаж, а также природные и техногенные катастрофы, способны привести к дестабилизации энергетической системы, вызвать каскадные отказы и иметь мультипликативный негативный эффект на всю экономику. Следовательно, правовое регулирование в данной сфере призвано не просто устанавливать нормы, но и формировать превентивную и реактивную систему управления рисками на всех уровнях – от государственного до корпоративного.</w:t>
      </w:r>
    </w:p>
    <w:p w14:paraId="5ED9034D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2. Фундаментальные законодательные рамки функционирования электроэнергетики</w:t>
      </w:r>
    </w:p>
    <w:p w14:paraId="466097A9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lastRenderedPageBreak/>
        <w:t>Правовое регулирование деятельности предприятий энергетического комплекса базируется на иерархической системе нормативно-правовых актов, где базовые принципы и отношения определяются федеральными законами.</w:t>
      </w:r>
    </w:p>
    <w:p w14:paraId="02A6FD73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2.1. Отраслевая регламентация: Федеральный закон «Об электроэнергетике»</w:t>
      </w:r>
    </w:p>
    <w:p w14:paraId="5B55CA17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Фундаментальные аспекты функционирования электроэнергетики как системообразующей отрасли экономики Российской Федерации регламентированы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Федеральным законом от 26 марта 2003 г. № 35-ФЗ «Об электроэнергетике»</w:t>
      </w:r>
      <w:r w:rsidRPr="00300AC1">
        <w:rPr>
          <w:rFonts w:ascii="Times New Roman" w:hAnsi="Times New Roman" w:cs="Times New Roman"/>
          <w:sz w:val="28"/>
          <w:szCs w:val="28"/>
        </w:rPr>
        <w:t xml:space="preserve"> (далее – Закон № 35-ФЗ) 1. Данный законодательный акт не просто </w:t>
      </w:r>
      <w:proofErr w:type="spellStart"/>
      <w:r w:rsidRPr="00300AC1">
        <w:rPr>
          <w:rFonts w:ascii="Times New Roman" w:hAnsi="Times New Roman" w:cs="Times New Roman"/>
          <w:sz w:val="28"/>
          <w:szCs w:val="28"/>
        </w:rPr>
        <w:t>дефинирует</w:t>
      </w:r>
      <w:proofErr w:type="spellEnd"/>
      <w:r w:rsidRPr="00300AC1">
        <w:rPr>
          <w:rFonts w:ascii="Times New Roman" w:hAnsi="Times New Roman" w:cs="Times New Roman"/>
          <w:sz w:val="28"/>
          <w:szCs w:val="28"/>
        </w:rPr>
        <w:t xml:space="preserve"> электроэнергетику как комплекс экономических отношений, охватывающих производство, передачу, оперативно-диспетчерское управление, сбыт и потребление электрической энергии, но и </w:t>
      </w:r>
      <w:proofErr w:type="spellStart"/>
      <w:r w:rsidRPr="00300AC1">
        <w:rPr>
          <w:rFonts w:ascii="Times New Roman" w:hAnsi="Times New Roman" w:cs="Times New Roman"/>
          <w:sz w:val="28"/>
          <w:szCs w:val="28"/>
        </w:rPr>
        <w:t>концептуализирует</w:t>
      </w:r>
      <w:proofErr w:type="spellEnd"/>
      <w:r w:rsidRPr="00300AC1">
        <w:rPr>
          <w:rFonts w:ascii="Times New Roman" w:hAnsi="Times New Roman" w:cs="Times New Roman"/>
          <w:sz w:val="28"/>
          <w:szCs w:val="28"/>
        </w:rPr>
        <w:t xml:space="preserve"> ее как сложную экономическую систему, включающую разнообразные производственные и имущественные объекты. В контексте функционального назначения, каждое предприятие, осуществляющее деятельность в данном секторе, по своей сути является субъектом электроэнергетики, реализующим процессы, критически важные для обеспечения энергетической инфраструктуры. Это подчеркивает не только его хозяйственно-экономическую, но и стратегическую функциональную роль в поддержании стабильности всей системы.</w:t>
      </w:r>
    </w:p>
    <w:p w14:paraId="0536BFBC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2.2. Общехозяйственные принципы: Федеральный закон «О защите конкуренции»</w:t>
      </w:r>
    </w:p>
    <w:p w14:paraId="20663E94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Помимо специфического отраслевого регулирования, деятельность предприятий энергетического сектора подчиняется общим принципам хозяйствования, закрепленным в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Федеральном законе от 26 июля 2006 г. № 135-ФЗ «О защите конкуренции»</w:t>
      </w:r>
      <w:r w:rsidRPr="00300AC1">
        <w:rPr>
          <w:rFonts w:ascii="Times New Roman" w:hAnsi="Times New Roman" w:cs="Times New Roman"/>
          <w:sz w:val="28"/>
          <w:szCs w:val="28"/>
        </w:rPr>
        <w:t xml:space="preserve"> (далее – Закон № 135-ФЗ) 2. Раскрытое в данном законе понятие «хозяйствующий субъект», как любая организация, индивидуальный предприниматель или физическое лицо, осуществляющие приносящую доход деятельность, имплицирует коммерческую природу исследуемого предприятия и актуальность вопросов конкурентоспособности и экономической эффективности в рамках его безопасности. Конкурентоспособность и финансовая устойчивость напрямую влияют на ресурсное обеспечение систем безопасности, а также на инвестиционную привлекательность, что является неотъемлемым элементом долгосрочной экономической безопасности.</w:t>
      </w:r>
    </w:p>
    <w:p w14:paraId="0D7B7ED9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3. Специальное регулирование безопасности объектов топливно-энергетического комплекса</w:t>
      </w:r>
    </w:p>
    <w:p w14:paraId="55BDFE75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Ключевым нормативно-правовым актом, непосредственно формирующим систему обеспечения безопасности объектов топливно-</w:t>
      </w:r>
      <w:r w:rsidRPr="00300AC1">
        <w:rPr>
          <w:rFonts w:ascii="Times New Roman" w:hAnsi="Times New Roman" w:cs="Times New Roman"/>
          <w:sz w:val="28"/>
          <w:szCs w:val="28"/>
        </w:rPr>
        <w:lastRenderedPageBreak/>
        <w:t xml:space="preserve">энергетического комплекса (ТЭК) и, как следствие, их экономическую устойчивость, является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21.07.2011 г. № 256-ФЗ «О безопасности объектов топливно-энергетического комплекса»</w:t>
      </w:r>
      <w:r w:rsidRPr="00300AC1">
        <w:rPr>
          <w:rFonts w:ascii="Times New Roman" w:hAnsi="Times New Roman" w:cs="Times New Roman"/>
          <w:sz w:val="28"/>
          <w:szCs w:val="28"/>
        </w:rPr>
        <w:t xml:space="preserve"> (далее – Закон № 256-ФЗ) 3. Этот закон выступает в качестве методологической и регулятивной основы для комплексной защиты энергетической инфраструктуры, интегрируя различные аспекты безопасности в единую систему управления рисками.</w:t>
      </w:r>
    </w:p>
    <w:p w14:paraId="74D7AE1C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3.1. Классификация объектов и определение угроз</w:t>
      </w:r>
    </w:p>
    <w:p w14:paraId="113F5FB0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пункту 9 статьи 2 Закона № 256-ФЗ</w:t>
      </w:r>
      <w:r w:rsidRPr="00300AC1">
        <w:rPr>
          <w:rFonts w:ascii="Times New Roman" w:hAnsi="Times New Roman" w:cs="Times New Roman"/>
          <w:sz w:val="28"/>
          <w:szCs w:val="28"/>
        </w:rPr>
        <w:t xml:space="preserve">, к объектам ТЭК относятся энергетические предприятия, в том числе осуществляющие передачу электроэнергии, что позволяет однозначно квалифицировать объекты исследуемой организации. В контексте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пункта 7 статьи 2</w:t>
      </w:r>
      <w:r w:rsidRPr="00300AC1">
        <w:rPr>
          <w:rFonts w:ascii="Times New Roman" w:hAnsi="Times New Roman" w:cs="Times New Roman"/>
          <w:sz w:val="28"/>
          <w:szCs w:val="28"/>
        </w:rPr>
        <w:t xml:space="preserve">, основным видом активов являются линейные объекты ТЭК – электрические сети, предназначенные для передачи энергии. Их пространственная </w:t>
      </w:r>
      <w:proofErr w:type="spellStart"/>
      <w:r w:rsidRPr="00300AC1">
        <w:rPr>
          <w:rFonts w:ascii="Times New Roman" w:hAnsi="Times New Roman" w:cs="Times New Roman"/>
          <w:sz w:val="28"/>
          <w:szCs w:val="28"/>
        </w:rPr>
        <w:t>распределенность</w:t>
      </w:r>
      <w:proofErr w:type="spellEnd"/>
      <w:r w:rsidRPr="00300AC1">
        <w:rPr>
          <w:rFonts w:ascii="Times New Roman" w:hAnsi="Times New Roman" w:cs="Times New Roman"/>
          <w:sz w:val="28"/>
          <w:szCs w:val="28"/>
        </w:rPr>
        <w:t xml:space="preserve"> и протяженность обусловливают специфические риски и требования к защите.</w:t>
      </w:r>
    </w:p>
    <w:p w14:paraId="47468BA0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Особое внимание уделяется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«антитеррористической защищенности объектов топливно-энергетического комплекса»</w:t>
      </w:r>
      <w:r w:rsidRPr="00300AC1">
        <w:rPr>
          <w:rFonts w:ascii="Times New Roman" w:hAnsi="Times New Roman" w:cs="Times New Roman"/>
          <w:sz w:val="28"/>
          <w:szCs w:val="28"/>
        </w:rPr>
        <w:t xml:space="preserve">, определяемой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пунктом 8 статьи 2</w:t>
      </w:r>
      <w:r w:rsidRPr="00300AC1">
        <w:rPr>
          <w:rFonts w:ascii="Times New Roman" w:hAnsi="Times New Roman" w:cs="Times New Roman"/>
          <w:sz w:val="28"/>
          <w:szCs w:val="28"/>
        </w:rPr>
        <w:t xml:space="preserve"> как реализация государственной системы правовых, экономических, организационных и иных мер. Данное положение прямо коррелирует с экономической безопасностью, поскольку акты терроризма и иные акты незаконного вмешательства способны нанести колоссальный ущерб инфраструктуре, вызвать системные сбои в экономике, дестабилизировать рынки и повлечь значительные финансовые потери. Требования обеспечения безопасности и антитеррористической защищенности, зафиксированные в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пункте 14 статьи 2</w:t>
      </w:r>
      <w:r w:rsidRPr="00300AC1">
        <w:rPr>
          <w:rFonts w:ascii="Times New Roman" w:hAnsi="Times New Roman" w:cs="Times New Roman"/>
          <w:sz w:val="28"/>
          <w:szCs w:val="28"/>
        </w:rPr>
        <w:t>, призваны минимизировать эти экзистенциальные риски и обеспечить устойчивое функционирование энергетической системы, тем самым гарантируя экономическую стабильность.</w:t>
      </w:r>
    </w:p>
    <w:p w14:paraId="786744CD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Пункт 3.1 статьи 2 Закона № 256-ФЗ</w:t>
      </w:r>
      <w:r w:rsidRPr="00300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AC1">
        <w:rPr>
          <w:rFonts w:ascii="Times New Roman" w:hAnsi="Times New Roman" w:cs="Times New Roman"/>
          <w:sz w:val="28"/>
          <w:szCs w:val="28"/>
        </w:rPr>
        <w:t>дефинирует</w:t>
      </w:r>
      <w:proofErr w:type="spellEnd"/>
      <w:r w:rsidRPr="00300AC1">
        <w:rPr>
          <w:rFonts w:ascii="Times New Roman" w:hAnsi="Times New Roman" w:cs="Times New Roman"/>
          <w:sz w:val="28"/>
          <w:szCs w:val="28"/>
        </w:rPr>
        <w:t xml:space="preserve"> безопасность объектов ТЭК как состояние их защищенности от актов незаконного вмешательства, под которыми понимаются любые противоправные действия, направленные на дестабилизацию или разрушение. Важнейшим элементом риск-ориентированного подхода, заложенного в Законе № 256-ФЗ, является установление иерархии объектов по степени их значимости. Различаются понятия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«критически важные объекты ТЭК»</w:t>
      </w:r>
      <w:r w:rsidRPr="00300AC1">
        <w:rPr>
          <w:rFonts w:ascii="Times New Roman" w:hAnsi="Times New Roman" w:cs="Times New Roman"/>
          <w:sz w:val="28"/>
          <w:szCs w:val="28"/>
        </w:rPr>
        <w:t xml:space="preserve"> и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«критические элементы объекта ТЭК»</w:t>
      </w:r>
      <w:r w:rsidRPr="00300AC1">
        <w:rPr>
          <w:rFonts w:ascii="Times New Roman" w:hAnsi="Times New Roman" w:cs="Times New Roman"/>
          <w:sz w:val="28"/>
          <w:szCs w:val="28"/>
        </w:rPr>
        <w:t>.</w:t>
      </w:r>
    </w:p>
    <w:p w14:paraId="2CC757D9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пунктом 5 статьи 2</w:t>
      </w:r>
      <w:r w:rsidRPr="00300AC1">
        <w:rPr>
          <w:rFonts w:ascii="Times New Roman" w:hAnsi="Times New Roman" w:cs="Times New Roman"/>
          <w:sz w:val="28"/>
          <w:szCs w:val="28"/>
        </w:rPr>
        <w:t xml:space="preserve">, к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критически важным объектам ТЭК</w:t>
      </w:r>
      <w:r w:rsidRPr="00300AC1">
        <w:rPr>
          <w:rFonts w:ascii="Times New Roman" w:hAnsi="Times New Roman" w:cs="Times New Roman"/>
          <w:sz w:val="28"/>
          <w:szCs w:val="28"/>
        </w:rPr>
        <w:t xml:space="preserve"> относятся объекты, прекращение или нарушение функционирования которых приводит к потере управления экономикой (на федеральном, </w:t>
      </w:r>
      <w:r w:rsidRPr="00300AC1">
        <w:rPr>
          <w:rFonts w:ascii="Times New Roman" w:hAnsi="Times New Roman" w:cs="Times New Roman"/>
          <w:sz w:val="28"/>
          <w:szCs w:val="28"/>
        </w:rPr>
        <w:lastRenderedPageBreak/>
        <w:t>региональном или муниципальном уровнях), необратимому негативному разрушению или изменению объектов, либо к существенному снижению уровня безопасности жизнедеятельности населения. Исходя из системного влияния на энергетическую стабильность, исследуемая организация, вероятно, относится к категории критически важных объектов ТЭК. Любое нарушение ее функционирования имеет потенциал для мультипликативного негативного эффекта на макроэкономическом уровне, включая резкое снижение ВВП, рост инфляции и социальные потрясения, что прямо угрожает экономической безопасности.</w:t>
      </w:r>
    </w:p>
    <w:p w14:paraId="7681DE8B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Пункт 6 статьи 2</w:t>
      </w:r>
      <w:r w:rsidRPr="00300AC1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критически важный элемент объекта ТЭК</w:t>
      </w:r>
      <w:r w:rsidRPr="00300AC1">
        <w:rPr>
          <w:rFonts w:ascii="Times New Roman" w:hAnsi="Times New Roman" w:cs="Times New Roman"/>
          <w:sz w:val="28"/>
          <w:szCs w:val="28"/>
        </w:rPr>
        <w:t xml:space="preserve"> как потенциально опасный участок или компонент, в результате акта незаконного вмешательства в отношении которого прекращается нормальное функционирование объекта ТЭК или происходит повреждение/авария. Идентификация таких элементов является ключевой для адресной защиты наиболее уязвимых точек, предотвращения каскадных отказов и минимизации экономического ущерба, что соответствует принципам превентивного риск-менеджмента.</w:t>
      </w:r>
    </w:p>
    <w:p w14:paraId="6F437BF8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Пункт 10 статьи 2</w:t>
      </w:r>
      <w:r w:rsidRPr="00300AC1">
        <w:rPr>
          <w:rFonts w:ascii="Times New Roman" w:hAnsi="Times New Roman" w:cs="Times New Roman"/>
          <w:sz w:val="28"/>
          <w:szCs w:val="28"/>
        </w:rPr>
        <w:t xml:space="preserve"> расширяет периметр защиты, относя к объектам ТЭК, подлежащим охране, не только здания и сооружения, но также прилегающие территории и акватории, что подчеркивает комплексный характер обеспечения безопасности.</w:t>
      </w:r>
    </w:p>
    <w:p w14:paraId="0AF7D481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3.2. Цели, задачи и принципы обеспечения безопасности ТЭК</w:t>
      </w:r>
    </w:p>
    <w:p w14:paraId="60A012A2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Статья 3 Закона № 256-ФЗ</w:t>
      </w:r>
      <w:r w:rsidRPr="00300AC1">
        <w:rPr>
          <w:rFonts w:ascii="Times New Roman" w:hAnsi="Times New Roman" w:cs="Times New Roman"/>
          <w:sz w:val="28"/>
          <w:szCs w:val="28"/>
        </w:rPr>
        <w:t xml:space="preserve"> устанавливает цели, фокусирующиеся на обеспечении системной устойчивости и функциональной надежности объектов ТЭК, а также на защите стратегических интересов личности, общества и государства от деструктивных воздействий. К ним относятся:</w:t>
      </w:r>
    </w:p>
    <w:p w14:paraId="77F7AC69" w14:textId="77777777" w:rsidR="00300AC1" w:rsidRPr="00300AC1" w:rsidRDefault="00300AC1" w:rsidP="00300AC1">
      <w:pPr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обеспечение устойчивого функционирования объектов ТЭК;</w:t>
      </w:r>
    </w:p>
    <w:p w14:paraId="739E36FF" w14:textId="77777777" w:rsidR="00300AC1" w:rsidRPr="00300AC1" w:rsidRDefault="00300AC1" w:rsidP="00300AC1">
      <w:pPr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обеспечение безопасного функционирования объектов ТЭК;</w:t>
      </w:r>
    </w:p>
    <w:p w14:paraId="17B0C269" w14:textId="77777777" w:rsidR="00300AC1" w:rsidRPr="00300AC1" w:rsidRDefault="00300AC1" w:rsidP="00300AC1">
      <w:pPr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защита интересов личности, общества и государства от актов незаконного вмешательства.</w:t>
      </w:r>
    </w:p>
    <w:p w14:paraId="731EEDAA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Основные задачи обеспечения безопасности объектов ТЭК включают комплекс мер, охватывающий институциональное, превентивное и ресурсное обеспечение: нормативно-правовое регулирование, </w:t>
      </w:r>
      <w:proofErr w:type="spellStart"/>
      <w:r w:rsidRPr="00300AC1">
        <w:rPr>
          <w:rFonts w:ascii="Times New Roman" w:hAnsi="Times New Roman" w:cs="Times New Roman"/>
          <w:sz w:val="28"/>
          <w:szCs w:val="28"/>
        </w:rPr>
        <w:t>проактивное</w:t>
      </w:r>
      <w:proofErr w:type="spellEnd"/>
      <w:r w:rsidRPr="00300AC1">
        <w:rPr>
          <w:rFonts w:ascii="Times New Roman" w:hAnsi="Times New Roman" w:cs="Times New Roman"/>
          <w:sz w:val="28"/>
          <w:szCs w:val="28"/>
        </w:rPr>
        <w:t xml:space="preserve"> выявление угроз, категорирование объектов (как основа для дифференциации мер защиты), разработка и реализация требований к безопасности, создание систем физической защиты, подготовка кадров, государственный надзор, а также информационное, материально-техническое и научно-техническое </w:t>
      </w:r>
      <w:r w:rsidRPr="00300AC1">
        <w:rPr>
          <w:rFonts w:ascii="Times New Roman" w:hAnsi="Times New Roman" w:cs="Times New Roman"/>
          <w:sz w:val="28"/>
          <w:szCs w:val="28"/>
        </w:rPr>
        <w:lastRenderedPageBreak/>
        <w:t>обеспечение. Такой подход демонстрирует стремление к формированию всеобъемлющей системы, охватывающей все стадии жизненного цикла угроз.</w:t>
      </w:r>
    </w:p>
    <w:p w14:paraId="04908374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Статьей 4 Закона № 256-ФЗ</w:t>
      </w:r>
      <w:r w:rsidRPr="00300AC1">
        <w:rPr>
          <w:rFonts w:ascii="Times New Roman" w:hAnsi="Times New Roman" w:cs="Times New Roman"/>
          <w:sz w:val="28"/>
          <w:szCs w:val="28"/>
        </w:rPr>
        <w:t xml:space="preserve"> определены основные принципы, фундирующие концептуальную основу обеспечения безопасности ТЭК: законность, соблюдение баланса интересов, взаимная ответственность субъектов, непрерывность обеспечения безопасности (отражающая динамичный характер угроз), интеграция с международными системами безопасности, обеспечение межведомственного взаимодействия, а также превентивный подход к противодействию террористическим и иным угрозам. Эти принципы являются фундаментом для построения эффективной системы управления рисками в энергетическом секторе.</w:t>
      </w:r>
    </w:p>
    <w:p w14:paraId="370FB3CF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Принцип непосредственной ответственности субъектов электроэнергетики за обеспечение безопасности своих объектов, закрепленный в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части 1 статьи 6 Закона № 256-ФЗ</w:t>
      </w:r>
      <w:r w:rsidRPr="00300AC1">
        <w:rPr>
          <w:rFonts w:ascii="Times New Roman" w:hAnsi="Times New Roman" w:cs="Times New Roman"/>
          <w:sz w:val="28"/>
          <w:szCs w:val="28"/>
        </w:rPr>
        <w:t>, означает делегирование широких полномочий и возложение прямой обязанности на руководство предприятий по формированию и реализации комплексной системы безопасности в соответствии с установленными стандартами. Это подчеркивает значимость корпоративного управления и внутренней комплаенс-системы для достижения экономической безопасности.</w:t>
      </w:r>
    </w:p>
    <w:p w14:paraId="7071EEA7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3.3. Системы обеспечения безопасности объектов ТЭК: физическая и информационная защита</w:t>
      </w:r>
    </w:p>
    <w:p w14:paraId="5DDD706E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Законодательно закреплены две основные системы обеспечения безопасности объектов ТЭК: система физической защиты и информационная система защиты.</w:t>
      </w:r>
    </w:p>
    <w:p w14:paraId="132F1E3B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статьей 9 Закона № 256-ФЗ</w:t>
      </w:r>
      <w:r w:rsidRPr="00300AC1">
        <w:rPr>
          <w:rFonts w:ascii="Times New Roman" w:hAnsi="Times New Roman" w:cs="Times New Roman"/>
          <w:sz w:val="28"/>
          <w:szCs w:val="28"/>
        </w:rPr>
        <w:t xml:space="preserve">,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система физической защиты</w:t>
      </w:r>
      <w:r w:rsidRPr="00300AC1">
        <w:rPr>
          <w:rFonts w:ascii="Times New Roman" w:hAnsi="Times New Roman" w:cs="Times New Roman"/>
          <w:sz w:val="28"/>
          <w:szCs w:val="28"/>
        </w:rPr>
        <w:t xml:space="preserve"> объектов ТЭК представляет собой совокупность мер (организационного, административного, правового характера) и средств (инженерного, технического характера), а также действий подразделений охраны. Ее целью является предотвращение несанкционированного проникновения на охраняемые объекты и своевременное выявление, обнаружение и пресечение посягательств. Эффективная физическая защита прямо влияет на экономическую безопасность, предотвращая прямой ущерб активам, минимизируя операционные риски, обеспечивая непрерывность производственной деятельности и сохраняя капитализацию предприятия.</w:t>
      </w:r>
    </w:p>
    <w:p w14:paraId="11A770FD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информационных систем</w:t>
      </w:r>
      <w:r w:rsidRPr="00300AC1">
        <w:rPr>
          <w:rFonts w:ascii="Times New Roman" w:hAnsi="Times New Roman" w:cs="Times New Roman"/>
          <w:sz w:val="28"/>
          <w:szCs w:val="28"/>
        </w:rPr>
        <w:t xml:space="preserve"> на объектах ТЭК, согласно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статье 11 Закона № 256-ФЗ</w:t>
      </w:r>
      <w:r w:rsidRPr="00300AC1">
        <w:rPr>
          <w:rFonts w:ascii="Times New Roman" w:hAnsi="Times New Roman" w:cs="Times New Roman"/>
          <w:sz w:val="28"/>
          <w:szCs w:val="28"/>
        </w:rPr>
        <w:t xml:space="preserve">, реализуется через создание систем защиты информации и информационно-телекоммуникационных сетей. Защита обеспечивается от неправомерных доступа, уничтожения, модифицирования, блокирования информации и иных неправомерных </w:t>
      </w:r>
      <w:r w:rsidRPr="00300AC1">
        <w:rPr>
          <w:rFonts w:ascii="Times New Roman" w:hAnsi="Times New Roman" w:cs="Times New Roman"/>
          <w:sz w:val="28"/>
          <w:szCs w:val="28"/>
        </w:rPr>
        <w:lastRenderedPageBreak/>
        <w:t xml:space="preserve">действий. В условиях тотальной цифровизации отрасли, интеграции систем управления и роста </w:t>
      </w:r>
      <w:proofErr w:type="spellStart"/>
      <w:r w:rsidRPr="00300AC1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300AC1">
        <w:rPr>
          <w:rFonts w:ascii="Times New Roman" w:hAnsi="Times New Roman" w:cs="Times New Roman"/>
          <w:sz w:val="28"/>
          <w:szCs w:val="28"/>
        </w:rPr>
        <w:t>, информационная безопасность становится критически важным, а порой и доминирующим элементом экономической безопасности. Она предотвращает утечки конфиденциальных данных, саботаж систем управления, финансовые потери от киберпреступлений и минимизирует риски операционных сбоев, что крайне важно для поддержания репутационного капитала и финансовой устойчивости.</w:t>
      </w:r>
    </w:p>
    <w:p w14:paraId="5FA64C2F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09C5A2B6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 xml:space="preserve">Проведенный системный анализ демонстрирует, что </w:t>
      </w:r>
      <w:r w:rsidRPr="00300AC1"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21.07.2011 г. № 256-ФЗ «О безопасности объектов топливно-энергетического комплекса»</w:t>
      </w:r>
      <w:r w:rsidRPr="00300AC1">
        <w:rPr>
          <w:rFonts w:ascii="Times New Roman" w:hAnsi="Times New Roman" w:cs="Times New Roman"/>
          <w:sz w:val="28"/>
          <w:szCs w:val="28"/>
        </w:rPr>
        <w:t>, в совокупности с Федеральным законом «Об электроэнергетике» и Федеральным законом «О защите конкуренции», формирует не просто перечень норм, но комплексную регулятивную платформу, систематизирующую подходы к обеспечению безопасности энергетических предприятий. Его положения создают правовую и организационную матрицу для эффективного управления рисками, связанными с актами незаконного вмешательства, и тем самым непосредственно способствуют поддержанию экономической безопасности и операционной устойчивости критической инфраструктуры энергетического комплекса.</w:t>
      </w:r>
    </w:p>
    <w:p w14:paraId="7DFFC85A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Стратегическое значение энергетического комплекса для национальной безопасности и экономического развития предопределяет необходимость непрерывного совершенствования правовой базы, активного развития технологий защиты и повышения квалификации персонала. Понимание имплицитной корреляции между положениями законодательных актов, концептуальными основами экономической безопасности и принципами управления рисками является ключом к построению адаптивной и высокоэффективной системы защиты, способной противостоять эскалации современных вызовов и гарантировать устойчивое развитие государства. Дальнейшие исследования могли бы быть сфокусированы на оценке эффективности существующих правовых механизмов в условиях динамично изменяющегося ландшафта угроз и разработке предложений по их оптимизации.</w:t>
      </w:r>
    </w:p>
    <w:p w14:paraId="58B6134A" w14:textId="2F3D6C52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0EDB9E" w14:textId="77777777" w:rsidR="00300AC1" w:rsidRPr="00300AC1" w:rsidRDefault="00300AC1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14:paraId="410C1F27" w14:textId="77777777" w:rsidR="00300AC1" w:rsidRPr="00300AC1" w:rsidRDefault="00300AC1" w:rsidP="00300AC1">
      <w:pPr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Об электроэнергетике: Федеральный закон от 26.03.2003 № 35-ФЗ (ред. от 08.08.2024) // Российская газета, № 60, 01.04.2003.</w:t>
      </w:r>
    </w:p>
    <w:p w14:paraId="09140472" w14:textId="77777777" w:rsidR="00300AC1" w:rsidRPr="00300AC1" w:rsidRDefault="00300AC1" w:rsidP="00300AC1">
      <w:pPr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lastRenderedPageBreak/>
        <w:t>О защите конкуренции: Федеральный закон от 26.07.2006 № 135-ФЗ (ред. от 08.08.2024) // Парламентская газета, № 126-127, 03.08.2006.</w:t>
      </w:r>
    </w:p>
    <w:p w14:paraId="5FFB44C1" w14:textId="77777777" w:rsidR="00300AC1" w:rsidRPr="00300AC1" w:rsidRDefault="00300AC1" w:rsidP="00300AC1">
      <w:pPr>
        <w:numPr>
          <w:ilvl w:val="0"/>
          <w:numId w:val="3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C1">
        <w:rPr>
          <w:rFonts w:ascii="Times New Roman" w:hAnsi="Times New Roman" w:cs="Times New Roman"/>
          <w:sz w:val="28"/>
          <w:szCs w:val="28"/>
        </w:rPr>
        <w:t>О безопасности объектов топливно-энергетического комплекса: Федеральный закон от 21.07.2011 № 256-ФЗ (ред. от 22.04.2024) // Российская газета, № 161, 26.07.2011.</w:t>
      </w:r>
    </w:p>
    <w:p w14:paraId="603D99B9" w14:textId="77777777" w:rsidR="003E130F" w:rsidRPr="00300AC1" w:rsidRDefault="003E130F" w:rsidP="00300AC1">
      <w:pPr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130F" w:rsidRPr="0030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B4F"/>
    <w:multiLevelType w:val="multilevel"/>
    <w:tmpl w:val="D81C5F4C"/>
    <w:styleLink w:val="a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</w:rPr>
    </w:lvl>
    <w:lvl w:ilvl="2">
      <w:start w:val="1"/>
      <w:numFmt w:val="decimal"/>
      <w:lvlText w:val="%3.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370875F5"/>
    <w:multiLevelType w:val="multilevel"/>
    <w:tmpl w:val="2F2C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864F5"/>
    <w:multiLevelType w:val="multilevel"/>
    <w:tmpl w:val="8BE2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17"/>
    <w:rsid w:val="00300AC1"/>
    <w:rsid w:val="003E130F"/>
    <w:rsid w:val="003E3417"/>
    <w:rsid w:val="004121C3"/>
    <w:rsid w:val="00495AAF"/>
    <w:rsid w:val="005F008D"/>
    <w:rsid w:val="00826A98"/>
    <w:rsid w:val="00C9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CED2"/>
  <w15:chartTrackingRefBased/>
  <w15:docId w15:val="{4FBCFD7A-816C-4906-B8E1-543AB4DB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Нумерованный цифры"/>
    <w:basedOn w:val="a3"/>
    <w:uiPriority w:val="99"/>
    <w:rsid w:val="00C925A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2458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Мадатов</dc:creator>
  <cp:keywords/>
  <dc:description/>
  <cp:lastModifiedBy>Яков Мадатов</cp:lastModifiedBy>
  <cp:revision>2</cp:revision>
  <dcterms:created xsi:type="dcterms:W3CDTF">2025-09-30T14:45:00Z</dcterms:created>
  <dcterms:modified xsi:type="dcterms:W3CDTF">2025-09-30T14:47:00Z</dcterms:modified>
</cp:coreProperties>
</file>