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3FAED" w14:textId="17DF5537" w:rsidR="004F1040" w:rsidRPr="004F1040" w:rsidRDefault="004F1040" w:rsidP="004F1040">
      <w:pPr>
        <w:spacing w:before="100" w:beforeAutospacing="1" w:after="100" w:afterAutospacing="1" w:line="240" w:lineRule="auto"/>
        <w:rPr>
          <w:rFonts w:ascii="Times New Roman" w:eastAsia="Times New Roman" w:hAnsi="Times New Roman" w:cs="Times New Roman"/>
          <w:sz w:val="24"/>
          <w:szCs w:val="24"/>
          <w:lang w:eastAsia="ru-RU"/>
        </w:rPr>
      </w:pPr>
      <w:r w:rsidRPr="004F1040">
        <w:rPr>
          <w:rFonts w:ascii="Times New Roman" w:eastAsia="Times New Roman" w:hAnsi="Times New Roman" w:cs="Times New Roman"/>
          <w:b/>
          <w:bCs/>
          <w:sz w:val="24"/>
          <w:szCs w:val="24"/>
          <w:lang w:eastAsia="ru-RU"/>
        </w:rPr>
        <w:t>УДК 338.24.01; 658.012</w:t>
      </w:r>
      <w:r w:rsidRPr="004F1040">
        <w:rPr>
          <w:rFonts w:ascii="Times New Roman" w:eastAsia="Times New Roman" w:hAnsi="Times New Roman" w:cs="Times New Roman"/>
          <w:sz w:val="24"/>
          <w:szCs w:val="24"/>
          <w:lang w:eastAsia="ru-RU"/>
        </w:rPr>
        <w:t xml:space="preserve"> </w:t>
      </w:r>
    </w:p>
    <w:p w14:paraId="2F3E1D95" w14:textId="17CBAD7D" w:rsidR="004F1040" w:rsidRDefault="004F1040" w:rsidP="004F1040">
      <w:pPr>
        <w:spacing w:before="100" w:beforeAutospacing="1" w:after="100" w:afterAutospacing="1" w:line="240" w:lineRule="auto"/>
        <w:rPr>
          <w:rFonts w:ascii="Times New Roman" w:eastAsia="Times New Roman" w:hAnsi="Times New Roman" w:cs="Times New Roman"/>
          <w:b/>
          <w:bCs/>
          <w:caps/>
          <w:sz w:val="24"/>
          <w:szCs w:val="24"/>
          <w:lang w:eastAsia="ru-RU"/>
        </w:rPr>
      </w:pPr>
      <w:r w:rsidRPr="004F1040">
        <w:rPr>
          <w:rFonts w:ascii="Times New Roman" w:eastAsia="Times New Roman" w:hAnsi="Times New Roman" w:cs="Times New Roman"/>
          <w:b/>
          <w:bCs/>
          <w:caps/>
          <w:sz w:val="24"/>
          <w:szCs w:val="24"/>
          <w:lang w:eastAsia="ru-RU"/>
        </w:rPr>
        <w:t>Служба безопасности предприятия и её роль в обеспечении экономической безопасности</w:t>
      </w:r>
    </w:p>
    <w:p w14:paraId="01A01B70" w14:textId="40021712" w:rsidR="004F1040" w:rsidRDefault="004F1040" w:rsidP="004F1040">
      <w:pPr>
        <w:spacing w:before="100" w:beforeAutospacing="1" w:after="100" w:afterAutospacing="1" w:line="240" w:lineRule="auto"/>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eastAsia="ru-RU"/>
        </w:rPr>
        <w:t>Мадатова</w:t>
      </w:r>
      <w:proofErr w:type="spellEnd"/>
      <w:r>
        <w:rPr>
          <w:rFonts w:ascii="Times New Roman" w:eastAsia="Times New Roman" w:hAnsi="Times New Roman" w:cs="Times New Roman"/>
          <w:b/>
          <w:bCs/>
          <w:sz w:val="24"/>
          <w:szCs w:val="24"/>
          <w:lang w:eastAsia="ru-RU"/>
        </w:rPr>
        <w:t xml:space="preserve"> Оксана Владимировна, к.э.н., доцент</w:t>
      </w:r>
    </w:p>
    <w:p w14:paraId="7D019B8A" w14:textId="11BC589C"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Аннотация:</w:t>
      </w:r>
      <w:r w:rsidRPr="004F1040">
        <w:rPr>
          <w:rFonts w:ascii="Times New Roman" w:eastAsia="Times New Roman" w:hAnsi="Times New Roman" w:cs="Times New Roman"/>
          <w:sz w:val="28"/>
          <w:szCs w:val="28"/>
          <w:lang w:eastAsia="ru-RU"/>
        </w:rPr>
        <w:t xml:space="preserve"> В статье рассматривается проблема обеспечения экономической безопасности предприятия через призму роли его службы безопасности. Отмечается отсутствие единого подхода к дефиниции экономической безопасности и службы безопасности в научной литературе. Авторами систематизированы существующие подходы к пониманию экономической безопасности, предложено собственное определение, а также классификация угроз. Особое внимание уделено роли службы безопасности как структурного подразделения, обеспечивающего минимизацию недопустимых рисков. На основе анализа функций и полномочий предлагается авторское определение службы безопасности предприятия. Обосновывается необходимость чёткого разграничения компетенций службы безопасности и других подразделений для повышения эффективности её функционирования. Результаты исследования способствуют углублению теоретических представлений и имеют практическую значимость для оптимизации систем безопасности на предприятиях.</w:t>
      </w:r>
    </w:p>
    <w:p w14:paraId="41B90919"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Ключевые слова:</w:t>
      </w:r>
      <w:r w:rsidRPr="004F1040">
        <w:rPr>
          <w:rFonts w:ascii="Times New Roman" w:eastAsia="Times New Roman" w:hAnsi="Times New Roman" w:cs="Times New Roman"/>
          <w:sz w:val="28"/>
          <w:szCs w:val="28"/>
          <w:lang w:eastAsia="ru-RU"/>
        </w:rPr>
        <w:t xml:space="preserve"> экономическая безопасность предприятия, служба безопасности, угрозы, риски, структурное подразделение, управление безопасностью, предотвратимые угрозы, непредотвратимые угрозы.</w:t>
      </w:r>
    </w:p>
    <w:p w14:paraId="729EE99B" w14:textId="48A6B607" w:rsidR="004F1040" w:rsidRPr="004F1040" w:rsidRDefault="004F1040" w:rsidP="00DF4DE0">
      <w:pPr>
        <w:tabs>
          <w:tab w:val="left" w:pos="1134"/>
          <w:tab w:val="left" w:pos="1276"/>
        </w:tabs>
        <w:spacing w:after="0" w:line="240" w:lineRule="auto"/>
        <w:ind w:firstLine="851"/>
        <w:jc w:val="both"/>
        <w:rPr>
          <w:rFonts w:ascii="Times New Roman" w:eastAsia="Times New Roman" w:hAnsi="Times New Roman" w:cs="Times New Roman"/>
          <w:sz w:val="28"/>
          <w:szCs w:val="28"/>
          <w:lang w:eastAsia="ru-RU"/>
        </w:rPr>
      </w:pPr>
    </w:p>
    <w:p w14:paraId="5574E43B"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Введение</w:t>
      </w:r>
    </w:p>
    <w:p w14:paraId="00648E45"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Вопрос обеспечения экономической безопасности предприятия является одним из ключевых аспектов его устойчивого функционирования и развития в современных условиях нестабильности и высокой конкуренции. Успешная предпринимательская деятельность напрямую зависит от способности хозяйствующего субъекта эффективно противостоять многообразным внутренним и внешним угрозам. Несмотря на значительное количество научных исследований, посвящённых данной проблематике, в отечественной и зарубежной литературе до настоящего времени отсутствует единый и общепризнанный подход к определению понятия «экономическая безопасность предприятия». Аналогичная ситуация наблюдается и в отношении дефиниции «служба безопасности предприятия», что создаёт методологические сложности в организации её эффективной деятельности и разграничении полномочий.</w:t>
      </w:r>
    </w:p>
    <w:p w14:paraId="2CB29095"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lastRenderedPageBreak/>
        <w:t>Целью данной статьи является анализ существующих теоретических подходов к понятию экономической безопасности предприятия и роли службы безопасности в её обеспечении, а также разработка авторских дефиниций и рекомендаций по разграничению полномочий. Для достижения поставленной цели были сформулированы следующие задачи: систематизировать подходы к пониманию экономической безопасности, предложить авторскую трактовку данного понятия и классификацию угроз; проанализировать существующие представления о службе безопасности предприятия, сформулировать её определение; определить роль службы безопасности в системе экономической безопасности предприятия и выявить особенности её взаимодействия с другими структурными подразделениями.</w:t>
      </w:r>
    </w:p>
    <w:p w14:paraId="596181B7"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Теоретические основы и обзор литературы</w:t>
      </w:r>
    </w:p>
    <w:p w14:paraId="0CBA2CB0"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Анализ научной литературы позволяет выделить три основных подхода к трактовке понятия «экономическая безопасность предприятия»:</w:t>
      </w:r>
    </w:p>
    <w:p w14:paraId="5D51224B" w14:textId="77777777" w:rsidR="004F1040" w:rsidRPr="004F1040" w:rsidRDefault="004F1040" w:rsidP="00DF4DE0">
      <w:pPr>
        <w:numPr>
          <w:ilvl w:val="0"/>
          <w:numId w:val="2"/>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Ресурсный подход</w:t>
      </w:r>
      <w:r w:rsidRPr="004F1040">
        <w:rPr>
          <w:rFonts w:ascii="Times New Roman" w:eastAsia="Times New Roman" w:hAnsi="Times New Roman" w:cs="Times New Roman"/>
          <w:sz w:val="28"/>
          <w:szCs w:val="28"/>
          <w:lang w:eastAsia="ru-RU"/>
        </w:rPr>
        <w:t xml:space="preserve">, где экономическая безопасность рассматривается как состояние защищённости ключевых ресурсов предприятия (финансовых, трудовых, информационных, материальных) от внешних и внутренних угроз. Представители данного подхода, такие как С.В. Жупанова (2020), А.К. Огородникова и Ю.А. Назарова (2021), Я.А. Паньшина и А.А. Сучков (2022), Л.А. </w:t>
      </w:r>
      <w:proofErr w:type="spellStart"/>
      <w:r w:rsidRPr="004F1040">
        <w:rPr>
          <w:rFonts w:ascii="Times New Roman" w:eastAsia="Times New Roman" w:hAnsi="Times New Roman" w:cs="Times New Roman"/>
          <w:sz w:val="28"/>
          <w:szCs w:val="28"/>
          <w:lang w:eastAsia="ru-RU"/>
        </w:rPr>
        <w:t>Эльгукаева</w:t>
      </w:r>
      <w:proofErr w:type="spellEnd"/>
      <w:r w:rsidRPr="004F1040">
        <w:rPr>
          <w:rFonts w:ascii="Times New Roman" w:eastAsia="Times New Roman" w:hAnsi="Times New Roman" w:cs="Times New Roman"/>
          <w:sz w:val="28"/>
          <w:szCs w:val="28"/>
          <w:lang w:eastAsia="ru-RU"/>
        </w:rPr>
        <w:t xml:space="preserve">, А.С.А. Муртазаева и С.С.Э. </w:t>
      </w:r>
      <w:proofErr w:type="spellStart"/>
      <w:r w:rsidRPr="004F1040">
        <w:rPr>
          <w:rFonts w:ascii="Times New Roman" w:eastAsia="Times New Roman" w:hAnsi="Times New Roman" w:cs="Times New Roman"/>
          <w:sz w:val="28"/>
          <w:szCs w:val="28"/>
          <w:lang w:eastAsia="ru-RU"/>
        </w:rPr>
        <w:t>Бухадиева</w:t>
      </w:r>
      <w:proofErr w:type="spellEnd"/>
      <w:r w:rsidRPr="004F1040">
        <w:rPr>
          <w:rFonts w:ascii="Times New Roman" w:eastAsia="Times New Roman" w:hAnsi="Times New Roman" w:cs="Times New Roman"/>
          <w:sz w:val="28"/>
          <w:szCs w:val="28"/>
          <w:lang w:eastAsia="ru-RU"/>
        </w:rPr>
        <w:t xml:space="preserve"> (2021) и другие, акцентируют внимание на компонентах безопасности, однако зачастую недостаточно глубоко раскрывают системную взаимосвязь между угрозами и общей экономической безопасностью.</w:t>
      </w:r>
    </w:p>
    <w:p w14:paraId="0C9D8698" w14:textId="77777777" w:rsidR="004F1040" w:rsidRPr="004F1040" w:rsidRDefault="004F1040" w:rsidP="00DF4DE0">
      <w:pPr>
        <w:numPr>
          <w:ilvl w:val="0"/>
          <w:numId w:val="2"/>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proofErr w:type="spellStart"/>
      <w:r w:rsidRPr="004F1040">
        <w:rPr>
          <w:rFonts w:ascii="Times New Roman" w:eastAsia="Times New Roman" w:hAnsi="Times New Roman" w:cs="Times New Roman"/>
          <w:b/>
          <w:bCs/>
          <w:sz w:val="28"/>
          <w:szCs w:val="28"/>
          <w:lang w:eastAsia="ru-RU"/>
        </w:rPr>
        <w:t>Угрозоориентированный</w:t>
      </w:r>
      <w:proofErr w:type="spellEnd"/>
      <w:r w:rsidRPr="004F1040">
        <w:rPr>
          <w:rFonts w:ascii="Times New Roman" w:eastAsia="Times New Roman" w:hAnsi="Times New Roman" w:cs="Times New Roman"/>
          <w:b/>
          <w:bCs/>
          <w:sz w:val="28"/>
          <w:szCs w:val="28"/>
          <w:lang w:eastAsia="ru-RU"/>
        </w:rPr>
        <w:t xml:space="preserve"> подход</w:t>
      </w:r>
      <w:r w:rsidRPr="004F1040">
        <w:rPr>
          <w:rFonts w:ascii="Times New Roman" w:eastAsia="Times New Roman" w:hAnsi="Times New Roman" w:cs="Times New Roman"/>
          <w:sz w:val="28"/>
          <w:szCs w:val="28"/>
          <w:lang w:eastAsia="ru-RU"/>
        </w:rPr>
        <w:t xml:space="preserve">, акцентирующий внимание на способности предприятия противостоять внешним и внутренним угрозам, а также минимизировать их негативное воздействие. В трудах таких учёных, как Т.Л. Мягкова и И.В. Беспалова (2022), А.Р. </w:t>
      </w:r>
      <w:proofErr w:type="spellStart"/>
      <w:r w:rsidRPr="004F1040">
        <w:rPr>
          <w:rFonts w:ascii="Times New Roman" w:eastAsia="Times New Roman" w:hAnsi="Times New Roman" w:cs="Times New Roman"/>
          <w:sz w:val="28"/>
          <w:szCs w:val="28"/>
          <w:lang w:eastAsia="ru-RU"/>
        </w:rPr>
        <w:t>Ризатдинова</w:t>
      </w:r>
      <w:proofErr w:type="spellEnd"/>
      <w:r w:rsidRPr="004F1040">
        <w:rPr>
          <w:rFonts w:ascii="Times New Roman" w:eastAsia="Times New Roman" w:hAnsi="Times New Roman" w:cs="Times New Roman"/>
          <w:sz w:val="28"/>
          <w:szCs w:val="28"/>
          <w:lang w:eastAsia="ru-RU"/>
        </w:rPr>
        <w:t xml:space="preserve">, А.Г. </w:t>
      </w:r>
      <w:proofErr w:type="spellStart"/>
      <w:r w:rsidRPr="004F1040">
        <w:rPr>
          <w:rFonts w:ascii="Times New Roman" w:eastAsia="Times New Roman" w:hAnsi="Times New Roman" w:cs="Times New Roman"/>
          <w:sz w:val="28"/>
          <w:szCs w:val="28"/>
          <w:lang w:eastAsia="ru-RU"/>
        </w:rPr>
        <w:t>Исавнин</w:t>
      </w:r>
      <w:proofErr w:type="spellEnd"/>
      <w:r w:rsidRPr="004F1040">
        <w:rPr>
          <w:rFonts w:ascii="Times New Roman" w:eastAsia="Times New Roman" w:hAnsi="Times New Roman" w:cs="Times New Roman"/>
          <w:sz w:val="28"/>
          <w:szCs w:val="28"/>
          <w:lang w:eastAsia="ru-RU"/>
        </w:rPr>
        <w:t xml:space="preserve"> и Н.Г. Москвин (2023), И.А. Сафронова и Я.Л. </w:t>
      </w:r>
      <w:proofErr w:type="spellStart"/>
      <w:r w:rsidRPr="004F1040">
        <w:rPr>
          <w:rFonts w:ascii="Times New Roman" w:eastAsia="Times New Roman" w:hAnsi="Times New Roman" w:cs="Times New Roman"/>
          <w:sz w:val="28"/>
          <w:szCs w:val="28"/>
          <w:lang w:eastAsia="ru-RU"/>
        </w:rPr>
        <w:t>Чапа</w:t>
      </w:r>
      <w:proofErr w:type="spellEnd"/>
      <w:r w:rsidRPr="004F1040">
        <w:rPr>
          <w:rFonts w:ascii="Times New Roman" w:eastAsia="Times New Roman" w:hAnsi="Times New Roman" w:cs="Times New Roman"/>
          <w:sz w:val="28"/>
          <w:szCs w:val="28"/>
          <w:lang w:eastAsia="ru-RU"/>
        </w:rPr>
        <w:t xml:space="preserve"> (2023), М.Н. </w:t>
      </w:r>
      <w:proofErr w:type="spellStart"/>
      <w:r w:rsidRPr="004F1040">
        <w:rPr>
          <w:rFonts w:ascii="Times New Roman" w:eastAsia="Times New Roman" w:hAnsi="Times New Roman" w:cs="Times New Roman"/>
          <w:sz w:val="28"/>
          <w:szCs w:val="28"/>
          <w:lang w:eastAsia="ru-RU"/>
        </w:rPr>
        <w:t>Чикова</w:t>
      </w:r>
      <w:proofErr w:type="spellEnd"/>
      <w:r w:rsidRPr="004F1040">
        <w:rPr>
          <w:rFonts w:ascii="Times New Roman" w:eastAsia="Times New Roman" w:hAnsi="Times New Roman" w:cs="Times New Roman"/>
          <w:sz w:val="28"/>
          <w:szCs w:val="28"/>
          <w:lang w:eastAsia="ru-RU"/>
        </w:rPr>
        <w:t xml:space="preserve"> (2020) и других, подробно рассматривается взаимосвязь между обеспечением экономической безопасности хозяйствующего субъекта и факторами, представляющими угрозу для его деятельности.</w:t>
      </w:r>
    </w:p>
    <w:p w14:paraId="1241258D" w14:textId="77777777" w:rsidR="004F1040" w:rsidRPr="004F1040" w:rsidRDefault="004F1040" w:rsidP="00DF4DE0">
      <w:pPr>
        <w:numPr>
          <w:ilvl w:val="0"/>
          <w:numId w:val="2"/>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Комплексный (ресурсно-функциональный) подход</w:t>
      </w:r>
      <w:r w:rsidRPr="004F1040">
        <w:rPr>
          <w:rFonts w:ascii="Times New Roman" w:eastAsia="Times New Roman" w:hAnsi="Times New Roman" w:cs="Times New Roman"/>
          <w:sz w:val="28"/>
          <w:szCs w:val="28"/>
          <w:lang w:eastAsia="ru-RU"/>
        </w:rPr>
        <w:t xml:space="preserve">, рассматривающий экономическую безопасность как интегративный процесс, вовлекающий все возможности предприятия и использующий его ресурсно-функциональный потенциал для обеспечения защищённости. Такой точки зрения придерживаются А.В. Данилина (2021), М.И. Закирова и Д.Е. Журин (2022), Н.В. </w:t>
      </w:r>
      <w:proofErr w:type="spellStart"/>
      <w:r w:rsidRPr="004F1040">
        <w:rPr>
          <w:rFonts w:ascii="Times New Roman" w:eastAsia="Times New Roman" w:hAnsi="Times New Roman" w:cs="Times New Roman"/>
          <w:sz w:val="28"/>
          <w:szCs w:val="28"/>
          <w:lang w:eastAsia="ru-RU"/>
        </w:rPr>
        <w:t>Кантуева</w:t>
      </w:r>
      <w:proofErr w:type="spellEnd"/>
      <w:r w:rsidRPr="004F1040">
        <w:rPr>
          <w:rFonts w:ascii="Times New Roman" w:eastAsia="Times New Roman" w:hAnsi="Times New Roman" w:cs="Times New Roman"/>
          <w:sz w:val="28"/>
          <w:szCs w:val="28"/>
          <w:lang w:eastAsia="ru-RU"/>
        </w:rPr>
        <w:t xml:space="preserve"> и В.А. </w:t>
      </w:r>
      <w:proofErr w:type="spellStart"/>
      <w:r w:rsidRPr="004F1040">
        <w:rPr>
          <w:rFonts w:ascii="Times New Roman" w:eastAsia="Times New Roman" w:hAnsi="Times New Roman" w:cs="Times New Roman"/>
          <w:sz w:val="28"/>
          <w:szCs w:val="28"/>
          <w:lang w:eastAsia="ru-RU"/>
        </w:rPr>
        <w:t>Самусёнок</w:t>
      </w:r>
      <w:proofErr w:type="spellEnd"/>
      <w:r w:rsidRPr="004F1040">
        <w:rPr>
          <w:rFonts w:ascii="Times New Roman" w:eastAsia="Times New Roman" w:hAnsi="Times New Roman" w:cs="Times New Roman"/>
          <w:sz w:val="28"/>
          <w:szCs w:val="28"/>
          <w:lang w:eastAsia="ru-RU"/>
        </w:rPr>
        <w:t xml:space="preserve"> (2021), М.В. Палкина (2022) и другие исследователи.</w:t>
      </w:r>
    </w:p>
    <w:p w14:paraId="684A4BC4"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 xml:space="preserve">Признавая правомерность каждого из представленных подходов, поскольку специфика рисков, угроз и доступных ресурсов варьируется в </w:t>
      </w:r>
      <w:r w:rsidRPr="004F1040">
        <w:rPr>
          <w:rFonts w:ascii="Times New Roman" w:eastAsia="Times New Roman" w:hAnsi="Times New Roman" w:cs="Times New Roman"/>
          <w:sz w:val="28"/>
          <w:szCs w:val="28"/>
          <w:lang w:eastAsia="ru-RU"/>
        </w:rPr>
        <w:lastRenderedPageBreak/>
        <w:t>зависимости не только от отрасли экономики, но и от индивидуальных особенностей предприятия.</w:t>
      </w:r>
    </w:p>
    <w:p w14:paraId="05498B3A"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Методология исследования</w:t>
      </w:r>
    </w:p>
    <w:p w14:paraId="716EEE8F"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Исследование базируется на методологии системного подхода, позволяющего рассматривать экономическую безопасность как комплексное явление. В работе использовались методы сравнительного анализа для систематизации существующих научных подходов к дефиниции экономической безопасности и службы безопасности предприятия, а также методы логического анализа и синтеза для формулирования авторских определений. При анализе угроз применялся классификационный метод. Обоснование роли службы безопасности осуществлялось на основе функционального подхода и анализа нормативно-правовых актов, регулирующих аспекты безопасности, в частности ГОСТ Р 51898-2002.</w:t>
      </w:r>
    </w:p>
    <w:p w14:paraId="47C2D085"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Результаты и обсуждение</w:t>
      </w:r>
    </w:p>
    <w:p w14:paraId="17C65FCD"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Авторский подход к определению экономической безопасности предприятия</w:t>
      </w:r>
    </w:p>
    <w:p w14:paraId="3055FB03"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 xml:space="preserve">Исходя из анализа существующих подходов, авторы данной работы предлагают следующее определение. Под </w:t>
      </w:r>
      <w:r w:rsidRPr="004F1040">
        <w:rPr>
          <w:rFonts w:ascii="Times New Roman" w:eastAsia="Times New Roman" w:hAnsi="Times New Roman" w:cs="Times New Roman"/>
          <w:b/>
          <w:bCs/>
          <w:sz w:val="28"/>
          <w:szCs w:val="28"/>
          <w:lang w:eastAsia="ru-RU"/>
        </w:rPr>
        <w:t>экономической безопасностью предприятия</w:t>
      </w:r>
      <w:r w:rsidRPr="004F1040">
        <w:rPr>
          <w:rFonts w:ascii="Times New Roman" w:eastAsia="Times New Roman" w:hAnsi="Times New Roman" w:cs="Times New Roman"/>
          <w:sz w:val="28"/>
          <w:szCs w:val="28"/>
          <w:lang w:eastAsia="ru-RU"/>
        </w:rPr>
        <w:t xml:space="preserve"> понимается такое его состояние, при котором оно обладает устойчивой способностью в текущей и долгосрочной перспективе эффективно противодействовать предотвратимым угрозам, препятствующим осуществлению предпринимательской деятельности, а также минимизировать потери от угроз, предотвращение которых не представляется возможным.</w:t>
      </w:r>
    </w:p>
    <w:p w14:paraId="6D8B7D20"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Классификация угроз экономической безопасности</w:t>
      </w:r>
    </w:p>
    <w:p w14:paraId="1B4C2911"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Исходя из данного определения, все угрозы экономической безопасности предприятия целесообразно разделить на две основные категории:</w:t>
      </w:r>
    </w:p>
    <w:p w14:paraId="53D02F24" w14:textId="77777777" w:rsidR="004F1040" w:rsidRPr="004F1040" w:rsidRDefault="004F1040" w:rsidP="00DF4DE0">
      <w:pPr>
        <w:numPr>
          <w:ilvl w:val="0"/>
          <w:numId w:val="3"/>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Предотвратимые угрозы.</w:t>
      </w:r>
      <w:r w:rsidRPr="004F1040">
        <w:rPr>
          <w:rFonts w:ascii="Times New Roman" w:eastAsia="Times New Roman" w:hAnsi="Times New Roman" w:cs="Times New Roman"/>
          <w:sz w:val="28"/>
          <w:szCs w:val="28"/>
          <w:lang w:eastAsia="ru-RU"/>
        </w:rPr>
        <w:t xml:space="preserve"> К ним относятся факторы внутренней среды, влияющие на предпринимательскую деятельность (безопасность основных фондов, оборотных средств, трудовых ресурсов, финансовая и информационная безопасность), а также те факторы внешней среды, негативное влияние которых может быть нивелировано целенаправленными действиями руководства предприятия (политическая и экономическая ситуация, изменения законодательства, демографическая ситуация и т.д.). Соответственно, ключевая задача предприятия сводится к прогнозированию таких угроз и разработке мер, направленных на предотвращение их деструктивного воздействия на деятельность.</w:t>
      </w:r>
    </w:p>
    <w:p w14:paraId="74AD5A3B" w14:textId="77777777" w:rsidR="004F1040" w:rsidRPr="004F1040" w:rsidRDefault="004F1040" w:rsidP="00DF4DE0">
      <w:pPr>
        <w:numPr>
          <w:ilvl w:val="0"/>
          <w:numId w:val="3"/>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lastRenderedPageBreak/>
        <w:t>Непредотвратимые угрозы.</w:t>
      </w:r>
      <w:r w:rsidRPr="004F1040">
        <w:rPr>
          <w:rFonts w:ascii="Times New Roman" w:eastAsia="Times New Roman" w:hAnsi="Times New Roman" w:cs="Times New Roman"/>
          <w:sz w:val="28"/>
          <w:szCs w:val="28"/>
          <w:lang w:eastAsia="ru-RU"/>
        </w:rPr>
        <w:t xml:space="preserve"> В данную группу входят все чрезвычайные ситуации, такие как военные действия, террористические акты, эпидемии, крупномасштабные аварии и катастрофы. В этом случае задачей предприятия становится предвидение вероятности наступления таких угроз и принятие превентивных мер, направленных в первую очередь на минимизацию ущерба жизни и здоровью персонала, а также товароматериальным ценностям.</w:t>
      </w:r>
    </w:p>
    <w:p w14:paraId="396B87B0"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Факторы, влияющие на организацию обеспечения экономической безопасности</w:t>
      </w:r>
    </w:p>
    <w:p w14:paraId="6D414752"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Выбор конкретных подходов и формирование системы обеспечения экономической безопасности предприятия детерминируются рядом факторов:</w:t>
      </w:r>
    </w:p>
    <w:p w14:paraId="7C5A1390" w14:textId="77777777" w:rsidR="004F1040" w:rsidRPr="004F1040" w:rsidRDefault="004F1040" w:rsidP="00DF4DE0">
      <w:pPr>
        <w:numPr>
          <w:ilvl w:val="0"/>
          <w:numId w:val="4"/>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Требования законодательства Российской Федерации.</w:t>
      </w:r>
      <w:r w:rsidRPr="004F1040">
        <w:rPr>
          <w:rFonts w:ascii="Times New Roman" w:eastAsia="Times New Roman" w:hAnsi="Times New Roman" w:cs="Times New Roman"/>
          <w:sz w:val="28"/>
          <w:szCs w:val="28"/>
          <w:lang w:eastAsia="ru-RU"/>
        </w:rPr>
        <w:t xml:space="preserve"> Например, в зависимости от класса опасности объекта может потребоваться введение особого режима допуска или иные регламентированные меры безопасности.</w:t>
      </w:r>
    </w:p>
    <w:p w14:paraId="26AD8868" w14:textId="77777777" w:rsidR="004F1040" w:rsidRPr="004F1040" w:rsidRDefault="004F1040" w:rsidP="00DF4DE0">
      <w:pPr>
        <w:numPr>
          <w:ilvl w:val="0"/>
          <w:numId w:val="4"/>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Масштабы деятельности предприятия</w:t>
      </w:r>
      <w:r w:rsidRPr="004F1040">
        <w:rPr>
          <w:rFonts w:ascii="Times New Roman" w:eastAsia="Times New Roman" w:hAnsi="Times New Roman" w:cs="Times New Roman"/>
          <w:sz w:val="28"/>
          <w:szCs w:val="28"/>
          <w:lang w:eastAsia="ru-RU"/>
        </w:rPr>
        <w:t>, предопределяющие финансовые возможности организации для оплаты услуг специалистов. В некоторых случаях средства для этих целей могут отсутствовать, и тогда соответствующие вопросы курируются руководителем или назначенными сотрудниками. Финансовые возможности могут быть достаточны только для найма сторожевой охраны или, напротив, для создания полноценной службы безопасности.</w:t>
      </w:r>
    </w:p>
    <w:p w14:paraId="6A56B274" w14:textId="77777777" w:rsidR="004F1040" w:rsidRPr="004F1040" w:rsidRDefault="004F1040" w:rsidP="00DF4DE0">
      <w:pPr>
        <w:numPr>
          <w:ilvl w:val="0"/>
          <w:numId w:val="4"/>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Вид деятельности предприятия</w:t>
      </w:r>
      <w:r w:rsidRPr="004F1040">
        <w:rPr>
          <w:rFonts w:ascii="Times New Roman" w:eastAsia="Times New Roman" w:hAnsi="Times New Roman" w:cs="Times New Roman"/>
          <w:sz w:val="28"/>
          <w:szCs w:val="28"/>
          <w:lang w:eastAsia="ru-RU"/>
        </w:rPr>
        <w:t>, когда специализированная служба безопасности может быть неактуальна, например, при отсутствии значимых материальных ценностей.</w:t>
      </w:r>
    </w:p>
    <w:p w14:paraId="1B090095"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Данная позиция подтверждается выводом Д.О. Лаврененко (2021) о том, что «структура, численность и состав службы экономической безопасности зависят от финансовых возможностей хозяйствующего субъекта, масштаба его деятельности, принятой системы управления и степени конфиденциальности имеющейся информации».</w:t>
      </w:r>
    </w:p>
    <w:p w14:paraId="436811F2"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Анализ подходов к определению службы безопасности предприятия и авторская дефиниция</w:t>
      </w:r>
    </w:p>
    <w:p w14:paraId="0A854523"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 xml:space="preserve">Анализ научной литературы показывает, что, несмотря на активное изучение аспектов экономической безопасности, единого понятия «служба безопасности предприятия» до настоящего времени не выработано. Значительное число авторов (Н.Н. Карзаева, 2021; М.В. </w:t>
      </w:r>
      <w:proofErr w:type="spellStart"/>
      <w:r w:rsidRPr="004F1040">
        <w:rPr>
          <w:rFonts w:ascii="Times New Roman" w:eastAsia="Times New Roman" w:hAnsi="Times New Roman" w:cs="Times New Roman"/>
          <w:sz w:val="28"/>
          <w:szCs w:val="28"/>
          <w:lang w:eastAsia="ru-RU"/>
        </w:rPr>
        <w:t>Набережнова</w:t>
      </w:r>
      <w:proofErr w:type="spellEnd"/>
      <w:r w:rsidRPr="004F1040">
        <w:rPr>
          <w:rFonts w:ascii="Times New Roman" w:eastAsia="Times New Roman" w:hAnsi="Times New Roman" w:cs="Times New Roman"/>
          <w:sz w:val="28"/>
          <w:szCs w:val="28"/>
          <w:lang w:eastAsia="ru-RU"/>
        </w:rPr>
        <w:t xml:space="preserve"> и С.Р. </w:t>
      </w:r>
      <w:proofErr w:type="spellStart"/>
      <w:r w:rsidRPr="004F1040">
        <w:rPr>
          <w:rFonts w:ascii="Times New Roman" w:eastAsia="Times New Roman" w:hAnsi="Times New Roman" w:cs="Times New Roman"/>
          <w:sz w:val="28"/>
          <w:szCs w:val="28"/>
          <w:lang w:eastAsia="ru-RU"/>
        </w:rPr>
        <w:t>Хамидуллина</w:t>
      </w:r>
      <w:proofErr w:type="spellEnd"/>
      <w:r w:rsidRPr="004F1040">
        <w:rPr>
          <w:rFonts w:ascii="Times New Roman" w:eastAsia="Times New Roman" w:hAnsi="Times New Roman" w:cs="Times New Roman"/>
          <w:sz w:val="28"/>
          <w:szCs w:val="28"/>
          <w:lang w:eastAsia="ru-RU"/>
        </w:rPr>
        <w:t>, 2019; М.П. Власов и А.А. Бобошко, 2020; Д.В. Шептунов, 2021; М.В. Мельник, 2020) ограничиваются описанием общих направлений деятельности и принципов формирования служб безопасности, не предлагая чёткой дефиниции самого понятия.</w:t>
      </w:r>
    </w:p>
    <w:p w14:paraId="35BA097C"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lastRenderedPageBreak/>
        <w:t xml:space="preserve">Более того, некоторые авторы, определяя полномочия служб безопасности, приписывают им функции, которые могут входить в противоречие с действующим законодательством Российской Федерации. В частности, А.Н. Щапов (источник и год, если есть) предлагает включать в состав службы безопасности предприятия «группу по работе с информаторами», чья деятельность включает «внедрение сотрудника разведывательного подразделения службы безопасности по заданию своего руководства в структуры конкурента; </w:t>
      </w:r>
      <w:proofErr w:type="spellStart"/>
      <w:r w:rsidRPr="004F1040">
        <w:rPr>
          <w:rFonts w:ascii="Times New Roman" w:eastAsia="Times New Roman" w:hAnsi="Times New Roman" w:cs="Times New Roman"/>
          <w:sz w:val="28"/>
          <w:szCs w:val="28"/>
          <w:lang w:eastAsia="ru-RU"/>
        </w:rPr>
        <w:t>легендированные</w:t>
      </w:r>
      <w:proofErr w:type="spellEnd"/>
      <w:r w:rsidRPr="004F1040">
        <w:rPr>
          <w:rFonts w:ascii="Times New Roman" w:eastAsia="Times New Roman" w:hAnsi="Times New Roman" w:cs="Times New Roman"/>
          <w:sz w:val="28"/>
          <w:szCs w:val="28"/>
          <w:lang w:eastAsia="ru-RU"/>
        </w:rPr>
        <w:t xml:space="preserve"> контакты со специалистами конкурента; зашифрованный опрос лиц, которые могут предоставить информацию; конфиденциальное наведение справок…». Подобные действия содержат признаки незаконного получения сведений, составляющих коммерческую тайну, и являются недопустимыми в рамках правового поля.</w:t>
      </w:r>
    </w:p>
    <w:p w14:paraId="3D0AB59C"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Необходимость преодоления указанных методологических пробелов обусловливает потребность в формулировании научно обоснованного определения «службы безопасности предприятия». Исходя из ранее предложенного определения экономической безопасности как состояния отсутствия недопустимого риска (ГОСТ Р 51898-2002) и общепринятого понимания «службы» как структурного подразделения, выполняющего определённые функции, можно предложить следующую дефиницию.</w:t>
      </w:r>
    </w:p>
    <w:p w14:paraId="5EE5FA29"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 xml:space="preserve">Таким образом, </w:t>
      </w:r>
      <w:r w:rsidRPr="004F1040">
        <w:rPr>
          <w:rFonts w:ascii="Times New Roman" w:eastAsia="Times New Roman" w:hAnsi="Times New Roman" w:cs="Times New Roman"/>
          <w:b/>
          <w:bCs/>
          <w:sz w:val="28"/>
          <w:szCs w:val="28"/>
          <w:lang w:eastAsia="ru-RU"/>
        </w:rPr>
        <w:t>служба безопасности предприятия</w:t>
      </w:r>
      <w:r w:rsidRPr="004F1040">
        <w:rPr>
          <w:rFonts w:ascii="Times New Roman" w:eastAsia="Times New Roman" w:hAnsi="Times New Roman" w:cs="Times New Roman"/>
          <w:sz w:val="28"/>
          <w:szCs w:val="28"/>
          <w:lang w:eastAsia="ru-RU"/>
        </w:rPr>
        <w:t xml:space="preserve"> представляет собой специализированное структурное подразделение организации, ключевой функцией которого является обеспечение отсутствия недопустимого риска в её деятельности. Именно эта функция определяет её центральную роль в поддержании общей экономической безопасности предприятия.</w:t>
      </w:r>
    </w:p>
    <w:p w14:paraId="37BAE497"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Разграничение полномочий службы безопасности и иных структурных подразделений</w:t>
      </w:r>
    </w:p>
    <w:p w14:paraId="17E04BB3"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Однако, возникает методологическая проблема разграничения полномочий и сфер ответственности службы безопасности и других структурных подразделений предприятия. Поскольку конечной целью любого хозяйствующего субъекта является получение прибыли – интегрального показателя успешности предпринимательской деятельности, – каждое подразделение, способствуя увеличению выручки или сокращению издержек, косвенно влияет на экономическую безопасность. Это создаёт зоны пересечения компетенций и обусловливает необходимость чёткой артикуляции специфических функций службы безопасности.</w:t>
      </w:r>
    </w:p>
    <w:p w14:paraId="12C4D983" w14:textId="616B559C" w:rsid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 xml:space="preserve">На </w:t>
      </w:r>
      <w:r w:rsidR="004641A1">
        <w:rPr>
          <w:rFonts w:ascii="Times New Roman" w:eastAsia="Times New Roman" w:hAnsi="Times New Roman" w:cs="Times New Roman"/>
          <w:sz w:val="28"/>
          <w:szCs w:val="28"/>
          <w:lang w:eastAsia="ru-RU"/>
        </w:rPr>
        <w:t>р</w:t>
      </w:r>
      <w:r w:rsidRPr="004F1040">
        <w:rPr>
          <w:rFonts w:ascii="Times New Roman" w:eastAsia="Times New Roman" w:hAnsi="Times New Roman" w:cs="Times New Roman"/>
          <w:sz w:val="28"/>
          <w:szCs w:val="28"/>
          <w:lang w:eastAsia="ru-RU"/>
        </w:rPr>
        <w:t>исунке 1 схематично представлено разграничение полномочий между службой безопасности и другими функциональными подразделениями, демонстрирующее сложный характер их взаимодействия.</w:t>
      </w:r>
    </w:p>
    <w:p w14:paraId="6DC03236" w14:textId="7F6686B8" w:rsidR="004641A1" w:rsidRPr="004F1040" w:rsidRDefault="004641A1" w:rsidP="004641A1">
      <w:pPr>
        <w:tabs>
          <w:tab w:val="left" w:pos="1134"/>
          <w:tab w:val="left" w:pos="1276"/>
        </w:tabs>
        <w:spacing w:before="100" w:beforeAutospacing="1" w:after="100" w:afterAutospacing="1" w:line="240" w:lineRule="auto"/>
        <w:jc w:val="both"/>
        <w:rPr>
          <w:rFonts w:ascii="Times New Roman" w:eastAsia="Times New Roman" w:hAnsi="Times New Roman" w:cs="Times New Roman"/>
          <w:sz w:val="28"/>
          <w:szCs w:val="28"/>
          <w:lang w:eastAsia="ru-RU"/>
        </w:rPr>
      </w:pPr>
      <w:r>
        <w:rPr>
          <w:noProof/>
        </w:rPr>
        <w:lastRenderedPageBreak/>
        <w:drawing>
          <wp:inline distT="0" distB="0" distL="0" distR="0" wp14:anchorId="1B4B2C98" wp14:editId="2DFA7E7D">
            <wp:extent cx="5940000" cy="3942715"/>
            <wp:effectExtent l="0" t="0" r="0" b="63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24D93502" w14:textId="7B37D8EC" w:rsidR="004F1040" w:rsidRPr="004F1040" w:rsidRDefault="004F1040" w:rsidP="004641A1">
      <w:pPr>
        <w:tabs>
          <w:tab w:val="left" w:pos="1134"/>
          <w:tab w:val="left" w:pos="1276"/>
        </w:tabs>
        <w:spacing w:before="100" w:beforeAutospacing="1" w:after="100" w:afterAutospacing="1" w:line="240" w:lineRule="auto"/>
        <w:ind w:firstLine="851"/>
        <w:jc w:val="center"/>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Рисунок 1 – Разделение полномочий структурных подразделений предприятия по обеспечению экономической безопасности</w:t>
      </w:r>
    </w:p>
    <w:p w14:paraId="3BD34CF7"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Данные рисунка показывают, что по своей природе служба безопасности предприятия взаимодействует практически со всеми иными подразделениями организации, что подчёркивает её интегрированную роль в системе управления.</w:t>
      </w:r>
    </w:p>
    <w:p w14:paraId="343C8542"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Заключение</w:t>
      </w:r>
    </w:p>
    <w:p w14:paraId="10D1138A"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По результатам проведённого исследования можно сделать вывод, что служба безопасности предприятия является неотъемлемым элементом его организационной структуры, выполняющим критически важную функцию по минимизации рисков. Её деятельность, направленная на обеспечение отсутствия недопустимого риска, детерминирует её ключевую роль в поддержании комплексной экономической безопасности организации.</w:t>
      </w:r>
    </w:p>
    <w:p w14:paraId="3FE75173"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 xml:space="preserve">Эффективность функционирования службы безопасности напрямую зависит от чёткого определения её полномочий, исключения дублирования функций с другими подразделениями и интеграции в общую систему управления предприятием. Полученные результаты вносят вклад в теоретическое осмысление механизмов обеспечения экономической безопасности и могут быть использованы для разработки практических рекомендаций по оптимизации структуры и функций служб безопасности на </w:t>
      </w:r>
      <w:r w:rsidRPr="004F1040">
        <w:rPr>
          <w:rFonts w:ascii="Times New Roman" w:eastAsia="Times New Roman" w:hAnsi="Times New Roman" w:cs="Times New Roman"/>
          <w:sz w:val="28"/>
          <w:szCs w:val="28"/>
          <w:lang w:eastAsia="ru-RU"/>
        </w:rPr>
        <w:lastRenderedPageBreak/>
        <w:t>предприятиях различного профиля, способствуя повышению их устойчивости в условиях динамично меняющейся внешней среды.</w:t>
      </w:r>
    </w:p>
    <w:p w14:paraId="282C8B16" w14:textId="2889D9D6" w:rsidR="004F1040" w:rsidRPr="004F1040" w:rsidRDefault="004F1040" w:rsidP="00DF4DE0">
      <w:pPr>
        <w:tabs>
          <w:tab w:val="left" w:pos="1134"/>
          <w:tab w:val="left" w:pos="1276"/>
        </w:tabs>
        <w:spacing w:after="0" w:line="240" w:lineRule="auto"/>
        <w:ind w:firstLine="851"/>
        <w:jc w:val="both"/>
        <w:rPr>
          <w:rFonts w:ascii="Times New Roman" w:eastAsia="Times New Roman" w:hAnsi="Times New Roman" w:cs="Times New Roman"/>
          <w:sz w:val="28"/>
          <w:szCs w:val="28"/>
          <w:lang w:eastAsia="ru-RU"/>
        </w:rPr>
      </w:pPr>
    </w:p>
    <w:p w14:paraId="4FE08A75" w14:textId="77777777" w:rsidR="004F1040" w:rsidRPr="004F1040" w:rsidRDefault="004F1040" w:rsidP="00DF4DE0">
      <w:pPr>
        <w:tabs>
          <w:tab w:val="left" w:pos="1134"/>
          <w:tab w:val="left" w:pos="1276"/>
        </w:tabs>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b/>
          <w:bCs/>
          <w:sz w:val="28"/>
          <w:szCs w:val="28"/>
          <w:lang w:eastAsia="ru-RU"/>
        </w:rPr>
        <w:t>Список литературы</w:t>
      </w:r>
    </w:p>
    <w:p w14:paraId="742C7E92"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Жупанова С.В. Система обеспечения финансовой безопасности предприятий в составе экономической безопасности // В сборнике: Финансово-экономическая безопасность Российской Федерации и её регионов. Сборник материалов V Международной научно-практической конференции. 2020. С. 146-148.</w:t>
      </w:r>
    </w:p>
    <w:p w14:paraId="6A009F99"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Огородникова А.К., Назарова Ю.А. Финансовая безопасность как основа экономической безопасности предприятия // В сборнике: Проблемы и перспективы развития системы учёта, аудита и государственного управления в условиях цифровой экономики. Материалы I Всероссийской научно-практической конференции. Министерство науки и высшего образования РФ; ФГАУ ВО «Крымский федеральный университет им. В.И. Вернадского», Институт экономики и управления. 2021. С. 52-54.</w:t>
      </w:r>
    </w:p>
    <w:p w14:paraId="34F79476"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Паньшина Я.А., Сучков А.А. Финансовая безопасность предприятия как метод снижения воздействия внутренних и внешних угроз экономической безопасности // Студенческий вестник. 2022. № 17-9 (209). С. 40-43.</w:t>
      </w:r>
    </w:p>
    <w:p w14:paraId="19075194"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proofErr w:type="spellStart"/>
      <w:r w:rsidRPr="004F1040">
        <w:rPr>
          <w:rFonts w:ascii="Times New Roman" w:eastAsia="Times New Roman" w:hAnsi="Times New Roman" w:cs="Times New Roman"/>
          <w:sz w:val="28"/>
          <w:szCs w:val="28"/>
          <w:lang w:eastAsia="ru-RU"/>
        </w:rPr>
        <w:t>Эльгукаева</w:t>
      </w:r>
      <w:proofErr w:type="spellEnd"/>
      <w:r w:rsidRPr="004F1040">
        <w:rPr>
          <w:rFonts w:ascii="Times New Roman" w:eastAsia="Times New Roman" w:hAnsi="Times New Roman" w:cs="Times New Roman"/>
          <w:sz w:val="28"/>
          <w:szCs w:val="28"/>
          <w:lang w:eastAsia="ru-RU"/>
        </w:rPr>
        <w:t xml:space="preserve"> Л.А., Муртазаева А.С.А., </w:t>
      </w:r>
      <w:proofErr w:type="spellStart"/>
      <w:r w:rsidRPr="004F1040">
        <w:rPr>
          <w:rFonts w:ascii="Times New Roman" w:eastAsia="Times New Roman" w:hAnsi="Times New Roman" w:cs="Times New Roman"/>
          <w:sz w:val="28"/>
          <w:szCs w:val="28"/>
          <w:lang w:eastAsia="ru-RU"/>
        </w:rPr>
        <w:t>Бухадиева</w:t>
      </w:r>
      <w:proofErr w:type="spellEnd"/>
      <w:r w:rsidRPr="004F1040">
        <w:rPr>
          <w:rFonts w:ascii="Times New Roman" w:eastAsia="Times New Roman" w:hAnsi="Times New Roman" w:cs="Times New Roman"/>
          <w:sz w:val="28"/>
          <w:szCs w:val="28"/>
          <w:lang w:eastAsia="ru-RU"/>
        </w:rPr>
        <w:t xml:space="preserve"> С.С.Э. Угрозы экономической безопасности строительного предприятия и основные слагаемые системы безопасности // В сборнике: Приоритеты мировой науки: новые подходы и актуальные исследования. Сборник научных трудов по материалам XXII Международной научно-практической конференции. Анапа, 2021. С. 36-43.</w:t>
      </w:r>
    </w:p>
    <w:p w14:paraId="48D16505"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Мягкова Т.Л., Беспалова И.В. Финансовая безопасность предприятия: понятие и место в системе финансовой и экономической безопасности государства // В сборнике: Формирование кооперативного кластера в условиях априорной неопределённости. Материалы Всероссийской научно-практической конференции, с международным участием. 2022. С. 61-63.</w:t>
      </w:r>
    </w:p>
    <w:p w14:paraId="241D4AE2"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proofErr w:type="spellStart"/>
      <w:r w:rsidRPr="004F1040">
        <w:rPr>
          <w:rFonts w:ascii="Times New Roman" w:eastAsia="Times New Roman" w:hAnsi="Times New Roman" w:cs="Times New Roman"/>
          <w:sz w:val="28"/>
          <w:szCs w:val="28"/>
          <w:lang w:eastAsia="ru-RU"/>
        </w:rPr>
        <w:t>Ризатдинова</w:t>
      </w:r>
      <w:proofErr w:type="spellEnd"/>
      <w:r w:rsidRPr="004F1040">
        <w:rPr>
          <w:rFonts w:ascii="Times New Roman" w:eastAsia="Times New Roman" w:hAnsi="Times New Roman" w:cs="Times New Roman"/>
          <w:sz w:val="28"/>
          <w:szCs w:val="28"/>
          <w:lang w:eastAsia="ru-RU"/>
        </w:rPr>
        <w:t xml:space="preserve"> А.Р., </w:t>
      </w:r>
      <w:proofErr w:type="spellStart"/>
      <w:r w:rsidRPr="004F1040">
        <w:rPr>
          <w:rFonts w:ascii="Times New Roman" w:eastAsia="Times New Roman" w:hAnsi="Times New Roman" w:cs="Times New Roman"/>
          <w:sz w:val="28"/>
          <w:szCs w:val="28"/>
          <w:lang w:eastAsia="ru-RU"/>
        </w:rPr>
        <w:t>Исавнин</w:t>
      </w:r>
      <w:proofErr w:type="spellEnd"/>
      <w:r w:rsidRPr="004F1040">
        <w:rPr>
          <w:rFonts w:ascii="Times New Roman" w:eastAsia="Times New Roman" w:hAnsi="Times New Roman" w:cs="Times New Roman"/>
          <w:sz w:val="28"/>
          <w:szCs w:val="28"/>
          <w:lang w:eastAsia="ru-RU"/>
        </w:rPr>
        <w:t xml:space="preserve"> А.Г., Москвин Н.Г. Финансовая безопасность как составляющая часть экономической безопасности предприятия. Курск, 2023.</w:t>
      </w:r>
    </w:p>
    <w:p w14:paraId="12CE8051"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 xml:space="preserve">Сафронова И.А., </w:t>
      </w:r>
      <w:proofErr w:type="spellStart"/>
      <w:r w:rsidRPr="004F1040">
        <w:rPr>
          <w:rFonts w:ascii="Times New Roman" w:eastAsia="Times New Roman" w:hAnsi="Times New Roman" w:cs="Times New Roman"/>
          <w:sz w:val="28"/>
          <w:szCs w:val="28"/>
          <w:lang w:eastAsia="ru-RU"/>
        </w:rPr>
        <w:t>Чапа</w:t>
      </w:r>
      <w:proofErr w:type="spellEnd"/>
      <w:r w:rsidRPr="004F1040">
        <w:rPr>
          <w:rFonts w:ascii="Times New Roman" w:eastAsia="Times New Roman" w:hAnsi="Times New Roman" w:cs="Times New Roman"/>
          <w:sz w:val="28"/>
          <w:szCs w:val="28"/>
          <w:lang w:eastAsia="ru-RU"/>
        </w:rPr>
        <w:t xml:space="preserve"> Я.Л. Экологическая безопасность предприятия как составляющая системы экономической безопасности // В сборнике: Экономическая безопасность и качество. Сборник научных трудов по материалам VI Международной научно-практической конференции “Статистические методы исследования социально-экономических и экологических систем региона” и материалам V Всероссийского форума “Стратегии противодействиям угрозам экономической безопасности России”. 2023. С. 469-474.</w:t>
      </w:r>
    </w:p>
    <w:p w14:paraId="171D7074"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proofErr w:type="spellStart"/>
      <w:r w:rsidRPr="004F1040">
        <w:rPr>
          <w:rFonts w:ascii="Times New Roman" w:eastAsia="Times New Roman" w:hAnsi="Times New Roman" w:cs="Times New Roman"/>
          <w:sz w:val="28"/>
          <w:szCs w:val="28"/>
          <w:lang w:eastAsia="ru-RU"/>
        </w:rPr>
        <w:lastRenderedPageBreak/>
        <w:t>Чикова</w:t>
      </w:r>
      <w:proofErr w:type="spellEnd"/>
      <w:r w:rsidRPr="004F1040">
        <w:rPr>
          <w:rFonts w:ascii="Times New Roman" w:eastAsia="Times New Roman" w:hAnsi="Times New Roman" w:cs="Times New Roman"/>
          <w:sz w:val="28"/>
          <w:szCs w:val="28"/>
          <w:lang w:eastAsia="ru-RU"/>
        </w:rPr>
        <w:t xml:space="preserve"> М.Н. Финансовая безопасность как основной компонент экономической безопасности предприятия // Студенческий вестник. 2020. № 44-7 (142). С. 29-31.</w:t>
      </w:r>
    </w:p>
    <w:p w14:paraId="5F6FE17D"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Данилина А.В. Информационная безопасность как задача обеспечения экономической безопасности предприятия // Студенческий вестник. 2021. № 43-5 (188). С. 35-36.</w:t>
      </w:r>
    </w:p>
    <w:p w14:paraId="622A5FF6"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Закирова М.И., Журин Д.Е. Технико-технологическая безопасность отечественных предприятий, как составляющая экономической безопасности страны // Экономика и предпринимательство. 2022. № 11 (148). С. 220-224.</w:t>
      </w:r>
    </w:p>
    <w:p w14:paraId="0EB03B42"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proofErr w:type="spellStart"/>
      <w:r w:rsidRPr="004F1040">
        <w:rPr>
          <w:rFonts w:ascii="Times New Roman" w:eastAsia="Times New Roman" w:hAnsi="Times New Roman" w:cs="Times New Roman"/>
          <w:sz w:val="28"/>
          <w:szCs w:val="28"/>
          <w:lang w:eastAsia="ru-RU"/>
        </w:rPr>
        <w:t>Кантуева</w:t>
      </w:r>
      <w:proofErr w:type="spellEnd"/>
      <w:r w:rsidRPr="004F1040">
        <w:rPr>
          <w:rFonts w:ascii="Times New Roman" w:eastAsia="Times New Roman" w:hAnsi="Times New Roman" w:cs="Times New Roman"/>
          <w:sz w:val="28"/>
          <w:szCs w:val="28"/>
          <w:lang w:eastAsia="ru-RU"/>
        </w:rPr>
        <w:t xml:space="preserve"> Н.В., </w:t>
      </w:r>
      <w:proofErr w:type="spellStart"/>
      <w:r w:rsidRPr="004F1040">
        <w:rPr>
          <w:rFonts w:ascii="Times New Roman" w:eastAsia="Times New Roman" w:hAnsi="Times New Roman" w:cs="Times New Roman"/>
          <w:sz w:val="28"/>
          <w:szCs w:val="28"/>
          <w:lang w:eastAsia="ru-RU"/>
        </w:rPr>
        <w:t>Самусёнок</w:t>
      </w:r>
      <w:proofErr w:type="spellEnd"/>
      <w:r w:rsidRPr="004F1040">
        <w:rPr>
          <w:rFonts w:ascii="Times New Roman" w:eastAsia="Times New Roman" w:hAnsi="Times New Roman" w:cs="Times New Roman"/>
          <w:sz w:val="28"/>
          <w:szCs w:val="28"/>
          <w:lang w:eastAsia="ru-RU"/>
        </w:rPr>
        <w:t xml:space="preserve"> В.А. Особенности обеспечения экономической безопасности промышленного предприятия как фактор обеспечения экономической безопасности государства // В сборнике: Горизонты науки. Сборник научных статей по материалам докладов и сообщений V Всероссийской студенческой научно-практической конференции. Российский экономический университет им. Г.В. Плеханова, Смоленский филиал. 2021. С. 243-251.</w:t>
      </w:r>
    </w:p>
    <w:p w14:paraId="19DE131E"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Палкина М.В. Производственная безопасность предприятий региона в системе региональной экономической безопасности // В сборнике: Социально-экономическое развитие региона: опыт, проблемы, инновации. Материалы IX Международной научно-практической конференции. Смоленск, 2022. С. 117-121.</w:t>
      </w:r>
    </w:p>
    <w:p w14:paraId="77902BF4"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 xml:space="preserve">Лавренова Д.О. Обеспечение экономической безопасности предприятия // </w:t>
      </w:r>
      <w:proofErr w:type="spellStart"/>
      <w:r w:rsidRPr="004F1040">
        <w:rPr>
          <w:rFonts w:ascii="Times New Roman" w:eastAsia="Times New Roman" w:hAnsi="Times New Roman" w:cs="Times New Roman"/>
          <w:sz w:val="28"/>
          <w:szCs w:val="28"/>
          <w:lang w:eastAsia="ru-RU"/>
        </w:rPr>
        <w:t>NovaUm.Ru</w:t>
      </w:r>
      <w:proofErr w:type="spellEnd"/>
      <w:r w:rsidRPr="004F1040">
        <w:rPr>
          <w:rFonts w:ascii="Times New Roman" w:eastAsia="Times New Roman" w:hAnsi="Times New Roman" w:cs="Times New Roman"/>
          <w:sz w:val="28"/>
          <w:szCs w:val="28"/>
          <w:lang w:eastAsia="ru-RU"/>
        </w:rPr>
        <w:t>. 2021. № 31. С. 42–46.</w:t>
      </w:r>
    </w:p>
    <w:p w14:paraId="70F32979"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Карзаева Н.Н. Организационная структура системы экономической безопасности предприятия // Бизнес. Образование. Право. 2021. № 1 (54). С. 43–47.</w:t>
      </w:r>
    </w:p>
    <w:p w14:paraId="3B8AEE49"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proofErr w:type="spellStart"/>
      <w:r w:rsidRPr="004F1040">
        <w:rPr>
          <w:rFonts w:ascii="Times New Roman" w:eastAsia="Times New Roman" w:hAnsi="Times New Roman" w:cs="Times New Roman"/>
          <w:sz w:val="28"/>
          <w:szCs w:val="28"/>
          <w:lang w:eastAsia="ru-RU"/>
        </w:rPr>
        <w:t>Набережнова</w:t>
      </w:r>
      <w:proofErr w:type="spellEnd"/>
      <w:r w:rsidRPr="004F1040">
        <w:rPr>
          <w:rFonts w:ascii="Times New Roman" w:eastAsia="Times New Roman" w:hAnsi="Times New Roman" w:cs="Times New Roman"/>
          <w:sz w:val="28"/>
          <w:szCs w:val="28"/>
          <w:lang w:eastAsia="ru-RU"/>
        </w:rPr>
        <w:t xml:space="preserve"> М.В., </w:t>
      </w:r>
      <w:proofErr w:type="spellStart"/>
      <w:r w:rsidRPr="004F1040">
        <w:rPr>
          <w:rFonts w:ascii="Times New Roman" w:eastAsia="Times New Roman" w:hAnsi="Times New Roman" w:cs="Times New Roman"/>
          <w:sz w:val="28"/>
          <w:szCs w:val="28"/>
          <w:lang w:eastAsia="ru-RU"/>
        </w:rPr>
        <w:t>Хамидуллина</w:t>
      </w:r>
      <w:proofErr w:type="spellEnd"/>
      <w:r w:rsidRPr="004F1040">
        <w:rPr>
          <w:rFonts w:ascii="Times New Roman" w:eastAsia="Times New Roman" w:hAnsi="Times New Roman" w:cs="Times New Roman"/>
          <w:sz w:val="28"/>
          <w:szCs w:val="28"/>
          <w:lang w:eastAsia="ru-RU"/>
        </w:rPr>
        <w:t xml:space="preserve"> С.Р. Особенности построения организационной структуры предприятия реального сектора экономики в целях обеспечения экономической безопасности в России // Национальная безопасность России и её регионов: состояние и условия обеспечения: Материалы Всероссийской научно-практической конференции, Казань, 28 января 2019 г. Казань: Университет управления «ТИСБИ», 2019. С. 102–115.</w:t>
      </w:r>
    </w:p>
    <w:p w14:paraId="5BE42C93"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Власов М.П., Бобошко А.А. Формирование организационной структуры предприятия в целях обеспечения его экономической безопасности // Петербургский экономический журнал. 2020. № 1. С. 120–131.</w:t>
      </w:r>
    </w:p>
    <w:p w14:paraId="5B8EFD3C"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Шептунов Д.В. Особенности формирования собственной службы экономической безопасности на предприятии // Экономическая безопасность общества, государства и личности: проблемы и направления обеспечения: Сборник статей по материалам VIII научно-практической конференции, Пенза, 11–12 марта 2021 г. М.: Перо, 2021. С. 181–183.</w:t>
      </w:r>
    </w:p>
    <w:p w14:paraId="1795CDFA"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Мельник М.В. Обеспечение экономической безопасности корпоративных структур // Инновационное развитие экономики. 2020. № 60. С. 310–318.</w:t>
      </w:r>
    </w:p>
    <w:p w14:paraId="690BA7DD"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t>Ожегов С.И. Толковый словарь русского языка. 100 000 слов, терминов и выражений. М.: АЛТ, 2024. 1376 с.</w:t>
      </w:r>
    </w:p>
    <w:p w14:paraId="7F33C464" w14:textId="77777777" w:rsidR="004F1040" w:rsidRPr="004F1040" w:rsidRDefault="004F1040" w:rsidP="00DF4DE0">
      <w:pPr>
        <w:numPr>
          <w:ilvl w:val="0"/>
          <w:numId w:val="5"/>
        </w:numPr>
        <w:tabs>
          <w:tab w:val="left" w:pos="1134"/>
          <w:tab w:val="left" w:pos="1276"/>
        </w:tabs>
        <w:spacing w:before="100" w:beforeAutospacing="1" w:after="100" w:afterAutospacing="1" w:line="240" w:lineRule="auto"/>
        <w:ind w:left="0" w:firstLine="851"/>
        <w:jc w:val="both"/>
        <w:rPr>
          <w:rFonts w:ascii="Times New Roman" w:eastAsia="Times New Roman" w:hAnsi="Times New Roman" w:cs="Times New Roman"/>
          <w:sz w:val="28"/>
          <w:szCs w:val="28"/>
          <w:lang w:eastAsia="ru-RU"/>
        </w:rPr>
      </w:pPr>
      <w:r w:rsidRPr="004F1040">
        <w:rPr>
          <w:rFonts w:ascii="Times New Roman" w:eastAsia="Times New Roman" w:hAnsi="Times New Roman" w:cs="Times New Roman"/>
          <w:sz w:val="28"/>
          <w:szCs w:val="28"/>
          <w:lang w:eastAsia="ru-RU"/>
        </w:rPr>
        <w:lastRenderedPageBreak/>
        <w:t>ГОСТ Р 51898-2002. Государственный стандарт Российской Федерации. Аспекты безопасности. Правила включения в стандарты (принят и введен в действие Постановлением Госстандарта России от 05.06.2002 № 228-ст). М., ИПК Издательство стандартов, 2002.</w:t>
      </w:r>
    </w:p>
    <w:p w14:paraId="16627B47" w14:textId="77777777" w:rsidR="003E130F" w:rsidRDefault="003E130F"/>
    <w:sectPr w:rsidR="003E13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B4F"/>
    <w:multiLevelType w:val="multilevel"/>
    <w:tmpl w:val="D81C5F4C"/>
    <w:styleLink w:val="a"/>
    <w:lvl w:ilvl="0">
      <w:start w:val="1"/>
      <w:numFmt w:val="decimal"/>
      <w:lvlText w:val="%1."/>
      <w:lvlJc w:val="left"/>
      <w:pPr>
        <w:tabs>
          <w:tab w:val="num" w:pos="1021"/>
        </w:tabs>
        <w:ind w:left="0" w:firstLine="709"/>
      </w:pPr>
      <w:rPr>
        <w:rFonts w:hint="default"/>
      </w:rPr>
    </w:lvl>
    <w:lvl w:ilvl="1">
      <w:start w:val="1"/>
      <w:numFmt w:val="decimal"/>
      <w:lvlText w:val="%1.%2."/>
      <w:lvlJc w:val="left"/>
      <w:pPr>
        <w:tabs>
          <w:tab w:val="num" w:pos="1191"/>
        </w:tabs>
        <w:ind w:left="0" w:firstLine="709"/>
      </w:pPr>
      <w:rPr>
        <w:rFonts w:hint="default"/>
      </w:rPr>
    </w:lvl>
    <w:lvl w:ilvl="2">
      <w:start w:val="1"/>
      <w:numFmt w:val="decimal"/>
      <w:lvlText w:val="%3.%1.%2."/>
      <w:lvlJc w:val="left"/>
      <w:pPr>
        <w:tabs>
          <w:tab w:val="num" w:pos="1304"/>
        </w:tabs>
        <w:ind w:left="0" w:firstLine="709"/>
      </w:pPr>
      <w:rPr>
        <w:rFonts w:hint="default"/>
      </w:rPr>
    </w:lvl>
    <w:lvl w:ilvl="3">
      <w:start w:val="1"/>
      <w:numFmt w:val="decimal"/>
      <w:lvlText w:val="(%4)"/>
      <w:lvlJc w:val="left"/>
      <w:pPr>
        <w:tabs>
          <w:tab w:val="num" w:pos="709"/>
        </w:tabs>
        <w:ind w:left="0" w:firstLine="709"/>
      </w:pPr>
      <w:rPr>
        <w:rFonts w:hint="default"/>
      </w:rPr>
    </w:lvl>
    <w:lvl w:ilvl="4">
      <w:start w:val="1"/>
      <w:numFmt w:val="lowerLetter"/>
      <w:lvlText w:val="(%5)"/>
      <w:lvlJc w:val="left"/>
      <w:pPr>
        <w:tabs>
          <w:tab w:val="num" w:pos="709"/>
        </w:tabs>
        <w:ind w:left="0" w:firstLine="709"/>
      </w:pPr>
      <w:rPr>
        <w:rFonts w:hint="default"/>
      </w:rPr>
    </w:lvl>
    <w:lvl w:ilvl="5">
      <w:start w:val="1"/>
      <w:numFmt w:val="lowerRoman"/>
      <w:lvlText w:val="(%6)"/>
      <w:lvlJc w:val="left"/>
      <w:pPr>
        <w:tabs>
          <w:tab w:val="num" w:pos="709"/>
        </w:tabs>
        <w:ind w:left="0" w:firstLine="709"/>
      </w:pPr>
      <w:rPr>
        <w:rFonts w:hint="default"/>
      </w:rPr>
    </w:lvl>
    <w:lvl w:ilvl="6">
      <w:start w:val="1"/>
      <w:numFmt w:val="decimal"/>
      <w:lvlText w:val="%7."/>
      <w:lvlJc w:val="left"/>
      <w:pPr>
        <w:tabs>
          <w:tab w:val="num" w:pos="709"/>
        </w:tabs>
        <w:ind w:left="0" w:firstLine="709"/>
      </w:pPr>
      <w:rPr>
        <w:rFonts w:hint="default"/>
      </w:rPr>
    </w:lvl>
    <w:lvl w:ilvl="7">
      <w:start w:val="1"/>
      <w:numFmt w:val="lowerLetter"/>
      <w:lvlText w:val="%8."/>
      <w:lvlJc w:val="left"/>
      <w:pPr>
        <w:tabs>
          <w:tab w:val="num" w:pos="709"/>
        </w:tabs>
        <w:ind w:left="0" w:firstLine="709"/>
      </w:pPr>
      <w:rPr>
        <w:rFonts w:hint="default"/>
      </w:rPr>
    </w:lvl>
    <w:lvl w:ilvl="8">
      <w:start w:val="1"/>
      <w:numFmt w:val="lowerRoman"/>
      <w:lvlText w:val="%9."/>
      <w:lvlJc w:val="left"/>
      <w:pPr>
        <w:tabs>
          <w:tab w:val="num" w:pos="709"/>
        </w:tabs>
        <w:ind w:left="0" w:firstLine="709"/>
      </w:pPr>
      <w:rPr>
        <w:rFonts w:hint="default"/>
      </w:rPr>
    </w:lvl>
  </w:abstractNum>
  <w:abstractNum w:abstractNumId="1" w15:restartNumberingAfterBreak="0">
    <w:nsid w:val="108873CD"/>
    <w:multiLevelType w:val="multilevel"/>
    <w:tmpl w:val="A544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D1406"/>
    <w:multiLevelType w:val="multilevel"/>
    <w:tmpl w:val="D122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975AFB"/>
    <w:multiLevelType w:val="multilevel"/>
    <w:tmpl w:val="50B4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094DEA"/>
    <w:multiLevelType w:val="multilevel"/>
    <w:tmpl w:val="9AAC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2D1D8E"/>
    <w:multiLevelType w:val="multilevel"/>
    <w:tmpl w:val="01DE0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6C1"/>
    <w:rsid w:val="001F76C1"/>
    <w:rsid w:val="003E130F"/>
    <w:rsid w:val="004121C3"/>
    <w:rsid w:val="004641A1"/>
    <w:rsid w:val="004F1040"/>
    <w:rsid w:val="005F008D"/>
    <w:rsid w:val="00826A98"/>
    <w:rsid w:val="008E01F2"/>
    <w:rsid w:val="00C925A9"/>
    <w:rsid w:val="00DF4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4CD0F"/>
  <w15:chartTrackingRefBased/>
  <w15:docId w15:val="{44457B02-2EFE-4F92-8F5F-EA704901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Нумерованный цифры"/>
    <w:basedOn w:val="a3"/>
    <w:uiPriority w:val="99"/>
    <w:rsid w:val="00C925A9"/>
    <w:pPr>
      <w:numPr>
        <w:numId w:val="1"/>
      </w:numPr>
    </w:pPr>
  </w:style>
  <w:style w:type="paragraph" w:styleId="a4">
    <w:name w:val="Normal (Web)"/>
    <w:basedOn w:val="a0"/>
    <w:uiPriority w:val="99"/>
    <w:semiHidden/>
    <w:unhideWhenUsed/>
    <w:rsid w:val="004F1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4F1040"/>
    <w:rPr>
      <w:b/>
      <w:bCs/>
    </w:rPr>
  </w:style>
  <w:style w:type="character" w:styleId="a6">
    <w:name w:val="Emphasis"/>
    <w:basedOn w:val="a1"/>
    <w:uiPriority w:val="20"/>
    <w:qFormat/>
    <w:rsid w:val="004F10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653246">
      <w:bodyDiv w:val="1"/>
      <w:marLeft w:val="0"/>
      <w:marRight w:val="0"/>
      <w:marTop w:val="0"/>
      <w:marBottom w:val="0"/>
      <w:divBdr>
        <w:top w:val="none" w:sz="0" w:space="0" w:color="auto"/>
        <w:left w:val="none" w:sz="0" w:space="0" w:color="auto"/>
        <w:bottom w:val="none" w:sz="0" w:space="0" w:color="auto"/>
        <w:right w:val="none" w:sz="0" w:space="0" w:color="auto"/>
      </w:divBdr>
      <w:divsChild>
        <w:div w:id="1690712578">
          <w:marLeft w:val="0"/>
          <w:marRight w:val="0"/>
          <w:marTop w:val="0"/>
          <w:marBottom w:val="0"/>
          <w:divBdr>
            <w:top w:val="none" w:sz="0" w:space="0" w:color="auto"/>
            <w:left w:val="none" w:sz="0" w:space="0" w:color="auto"/>
            <w:bottom w:val="none" w:sz="0" w:space="0" w:color="auto"/>
            <w:right w:val="none" w:sz="0" w:space="0" w:color="auto"/>
          </w:divBdr>
          <w:divsChild>
            <w:div w:id="130719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F0EDD3-F505-4F1C-A3C3-679909A0B2AB}" type="doc">
      <dgm:prSet loTypeId="urn:microsoft.com/office/officeart/2005/8/layout/radial3" loCatId="relationship" qsTypeId="urn:microsoft.com/office/officeart/2005/8/quickstyle/simple1" qsCatId="simple" csTypeId="urn:microsoft.com/office/officeart/2005/8/colors/accent0_1" csCatId="mainScheme" phldr="1"/>
      <dgm:spPr/>
      <dgm:t>
        <a:bodyPr/>
        <a:lstStyle/>
        <a:p>
          <a:endParaRPr lang="ru-RU"/>
        </a:p>
      </dgm:t>
    </dgm:pt>
    <dgm:pt modelId="{64BAC7D4-F567-4AF7-BD39-400A0B0773B2}">
      <dgm:prSet phldrT="[Текст]" custT="1"/>
      <dgm:spPr/>
      <dgm:t>
        <a:bodyPr/>
        <a:lstStyle/>
        <a:p>
          <a:r>
            <a:rPr lang="ru-RU" sz="1200">
              <a:latin typeface="Times New Roman" panose="02020603050405020304" pitchFamily="18" charset="0"/>
              <a:cs typeface="Times New Roman" panose="02020603050405020304" pitchFamily="18" charset="0"/>
            </a:rPr>
            <a:t>Служба безопасности</a:t>
          </a:r>
        </a:p>
      </dgm:t>
    </dgm:pt>
    <dgm:pt modelId="{C6D11CE1-8881-431C-8054-9D408BAC8AF2}" type="parTrans" cxnId="{858084B9-EB25-4E9A-921A-184DB7ABC370}">
      <dgm:prSet/>
      <dgm:spPr/>
      <dgm:t>
        <a:bodyPr/>
        <a:lstStyle/>
        <a:p>
          <a:endParaRPr lang="ru-RU"/>
        </a:p>
      </dgm:t>
    </dgm:pt>
    <dgm:pt modelId="{8B8D1453-7EC9-4098-B53B-0CEFD042125B}" type="sibTrans" cxnId="{858084B9-EB25-4E9A-921A-184DB7ABC370}">
      <dgm:prSet/>
      <dgm:spPr/>
      <dgm:t>
        <a:bodyPr/>
        <a:lstStyle/>
        <a:p>
          <a:endParaRPr lang="ru-RU"/>
        </a:p>
      </dgm:t>
    </dgm:pt>
    <dgm:pt modelId="{CEFAC551-0501-430F-A24D-BAC21F0E6C82}">
      <dgm:prSet phldrT="[Текст]" custT="1"/>
      <dgm:spPr/>
      <dgm:t>
        <a:bodyPr/>
        <a:lstStyle/>
        <a:p>
          <a:r>
            <a:rPr lang="ru-RU" sz="1200">
              <a:latin typeface="Times New Roman" panose="02020603050405020304" pitchFamily="18" charset="0"/>
              <a:cs typeface="Times New Roman" panose="02020603050405020304" pitchFamily="18" charset="0"/>
            </a:rPr>
            <a:t>Подразделения снабжения</a:t>
          </a:r>
        </a:p>
      </dgm:t>
    </dgm:pt>
    <dgm:pt modelId="{6EDC6693-C9F5-4C69-AC82-4859E4DBC296}" type="parTrans" cxnId="{97926B26-0F6A-4831-B98D-E9E4BDC078EE}">
      <dgm:prSet/>
      <dgm:spPr/>
      <dgm:t>
        <a:bodyPr/>
        <a:lstStyle/>
        <a:p>
          <a:endParaRPr lang="ru-RU"/>
        </a:p>
      </dgm:t>
    </dgm:pt>
    <dgm:pt modelId="{878C9D4B-883C-4620-8BF4-E0B54DAD85D0}" type="sibTrans" cxnId="{97926B26-0F6A-4831-B98D-E9E4BDC078EE}">
      <dgm:prSet/>
      <dgm:spPr/>
      <dgm:t>
        <a:bodyPr/>
        <a:lstStyle/>
        <a:p>
          <a:endParaRPr lang="ru-RU"/>
        </a:p>
      </dgm:t>
    </dgm:pt>
    <dgm:pt modelId="{822044AD-582D-43B0-9F2F-7084B4959CAA}">
      <dgm:prSet phldrT="[Текст]" custT="1"/>
      <dgm:spPr/>
      <dgm:t>
        <a:bodyPr/>
        <a:lstStyle/>
        <a:p>
          <a:r>
            <a:rPr lang="ru-RU" sz="1200">
              <a:latin typeface="Times New Roman" panose="02020603050405020304" pitchFamily="18" charset="0"/>
              <a:cs typeface="Times New Roman" panose="02020603050405020304" pitchFamily="18" charset="0"/>
            </a:rPr>
            <a:t>Подразделения  сбыта</a:t>
          </a:r>
        </a:p>
      </dgm:t>
    </dgm:pt>
    <dgm:pt modelId="{30A5770C-3DAC-48E4-8529-BB7A76A71FE0}" type="parTrans" cxnId="{1D8C5D17-CAD3-4313-B5E9-BBFE21CDF59C}">
      <dgm:prSet/>
      <dgm:spPr/>
      <dgm:t>
        <a:bodyPr/>
        <a:lstStyle/>
        <a:p>
          <a:endParaRPr lang="ru-RU"/>
        </a:p>
      </dgm:t>
    </dgm:pt>
    <dgm:pt modelId="{EBF30FF8-A59A-4EDE-ACA2-31CD7B63EDF0}" type="sibTrans" cxnId="{1D8C5D17-CAD3-4313-B5E9-BBFE21CDF59C}">
      <dgm:prSet/>
      <dgm:spPr/>
      <dgm:t>
        <a:bodyPr/>
        <a:lstStyle/>
        <a:p>
          <a:endParaRPr lang="ru-RU"/>
        </a:p>
      </dgm:t>
    </dgm:pt>
    <dgm:pt modelId="{88DDB816-2F03-4DFC-9C1D-DD6B7459D281}">
      <dgm:prSet phldrT="[Текст]" custT="1"/>
      <dgm:spPr/>
      <dgm:t>
        <a:bodyPr/>
        <a:lstStyle/>
        <a:p>
          <a:r>
            <a:rPr lang="ru-RU" sz="1200">
              <a:latin typeface="Times New Roman" panose="02020603050405020304" pitchFamily="18" charset="0"/>
              <a:cs typeface="Times New Roman" panose="02020603050405020304" pitchFamily="18" charset="0"/>
            </a:rPr>
            <a:t>Финансово-экономические подразделения</a:t>
          </a:r>
        </a:p>
      </dgm:t>
    </dgm:pt>
    <dgm:pt modelId="{63AF850A-4EE1-4584-BA74-1B8B5F9AA98F}" type="parTrans" cxnId="{27245215-3B24-4357-BBA8-386F49A6814A}">
      <dgm:prSet/>
      <dgm:spPr/>
      <dgm:t>
        <a:bodyPr/>
        <a:lstStyle/>
        <a:p>
          <a:endParaRPr lang="ru-RU"/>
        </a:p>
      </dgm:t>
    </dgm:pt>
    <dgm:pt modelId="{CC539DF2-EB24-4A0A-BF39-98CBB5509CFC}" type="sibTrans" cxnId="{27245215-3B24-4357-BBA8-386F49A6814A}">
      <dgm:prSet/>
      <dgm:spPr/>
      <dgm:t>
        <a:bodyPr/>
        <a:lstStyle/>
        <a:p>
          <a:endParaRPr lang="ru-RU"/>
        </a:p>
      </dgm:t>
    </dgm:pt>
    <dgm:pt modelId="{533AE6A6-CC92-4737-9039-A9CA09CE5057}">
      <dgm:prSet phldrT="[Текст]" custT="1"/>
      <dgm:spPr/>
      <dgm:t>
        <a:bodyPr/>
        <a:lstStyle/>
        <a:p>
          <a:r>
            <a:rPr lang="ru-RU" sz="1200">
              <a:latin typeface="Times New Roman" panose="02020603050405020304" pitchFamily="18" charset="0"/>
              <a:cs typeface="Times New Roman" panose="02020603050405020304" pitchFamily="18" charset="0"/>
            </a:rPr>
            <a:t>Юриспруденция</a:t>
          </a:r>
        </a:p>
      </dgm:t>
    </dgm:pt>
    <dgm:pt modelId="{034FF7D7-6843-4CE5-8A49-662E31726988}" type="parTrans" cxnId="{A794F446-8C09-4044-B27C-C5309B243851}">
      <dgm:prSet/>
      <dgm:spPr/>
      <dgm:t>
        <a:bodyPr/>
        <a:lstStyle/>
        <a:p>
          <a:endParaRPr lang="ru-RU"/>
        </a:p>
      </dgm:t>
    </dgm:pt>
    <dgm:pt modelId="{200ACCF5-2E49-46C0-B704-94A23C1B44D5}" type="sibTrans" cxnId="{A794F446-8C09-4044-B27C-C5309B243851}">
      <dgm:prSet/>
      <dgm:spPr/>
      <dgm:t>
        <a:bodyPr/>
        <a:lstStyle/>
        <a:p>
          <a:endParaRPr lang="ru-RU"/>
        </a:p>
      </dgm:t>
    </dgm:pt>
    <dgm:pt modelId="{278904C6-A879-435E-9C6B-68E33A4CC021}">
      <dgm:prSet phldrT="[Текст]" custT="1"/>
      <dgm:spPr/>
      <dgm:t>
        <a:bodyPr/>
        <a:lstStyle/>
        <a:p>
          <a:r>
            <a:rPr lang="ru-RU" sz="1200">
              <a:latin typeface="Times New Roman" panose="02020603050405020304" pitchFamily="18" charset="0"/>
              <a:cs typeface="Times New Roman" panose="02020603050405020304" pitchFamily="18" charset="0"/>
            </a:rPr>
            <a:t>Производственно-технические подраздедения</a:t>
          </a:r>
        </a:p>
      </dgm:t>
    </dgm:pt>
    <dgm:pt modelId="{C612430E-7A78-41A4-A0A8-AAA1277F1958}" type="parTrans" cxnId="{AD459FF5-6118-40A0-B412-028258BE8C20}">
      <dgm:prSet/>
      <dgm:spPr/>
      <dgm:t>
        <a:bodyPr/>
        <a:lstStyle/>
        <a:p>
          <a:endParaRPr lang="ru-RU"/>
        </a:p>
      </dgm:t>
    </dgm:pt>
    <dgm:pt modelId="{233263E5-787C-4AFD-94E3-3D3A16C30825}" type="sibTrans" cxnId="{AD459FF5-6118-40A0-B412-028258BE8C20}">
      <dgm:prSet/>
      <dgm:spPr/>
      <dgm:t>
        <a:bodyPr/>
        <a:lstStyle/>
        <a:p>
          <a:endParaRPr lang="ru-RU"/>
        </a:p>
      </dgm:t>
    </dgm:pt>
    <dgm:pt modelId="{922440F9-D145-4643-9CBD-DEE2B6E2FBE9}" type="pres">
      <dgm:prSet presAssocID="{07F0EDD3-F505-4F1C-A3C3-679909A0B2AB}" presName="composite" presStyleCnt="0">
        <dgm:presLayoutVars>
          <dgm:chMax val="1"/>
          <dgm:dir/>
          <dgm:resizeHandles val="exact"/>
        </dgm:presLayoutVars>
      </dgm:prSet>
      <dgm:spPr/>
    </dgm:pt>
    <dgm:pt modelId="{F4E55764-2200-45E3-8BD7-47445B8B4513}" type="pres">
      <dgm:prSet presAssocID="{07F0EDD3-F505-4F1C-A3C3-679909A0B2AB}" presName="radial" presStyleCnt="0">
        <dgm:presLayoutVars>
          <dgm:animLvl val="ctr"/>
        </dgm:presLayoutVars>
      </dgm:prSet>
      <dgm:spPr/>
    </dgm:pt>
    <dgm:pt modelId="{2D3D5282-313A-4EAB-BD4A-88C00C55CCEE}" type="pres">
      <dgm:prSet presAssocID="{64BAC7D4-F567-4AF7-BD39-400A0B0773B2}" presName="centerShape" presStyleLbl="vennNode1" presStyleIdx="0" presStyleCnt="6"/>
      <dgm:spPr/>
    </dgm:pt>
    <dgm:pt modelId="{E68BB938-48CB-4CA0-BD4D-F66E54F8D9BE}" type="pres">
      <dgm:prSet presAssocID="{CEFAC551-0501-430F-A24D-BAC21F0E6C82}" presName="node" presStyleLbl="vennNode1" presStyleIdx="1" presStyleCnt="6" custScaleX="149206">
        <dgm:presLayoutVars>
          <dgm:bulletEnabled val="1"/>
        </dgm:presLayoutVars>
      </dgm:prSet>
      <dgm:spPr/>
    </dgm:pt>
    <dgm:pt modelId="{302B59CB-31A1-4ABC-8AA4-B82D70A8C433}" type="pres">
      <dgm:prSet presAssocID="{822044AD-582D-43B0-9F2F-7084B4959CAA}" presName="node" presStyleLbl="vennNode1" presStyleIdx="2" presStyleCnt="6" custScaleX="149206">
        <dgm:presLayoutVars>
          <dgm:bulletEnabled val="1"/>
        </dgm:presLayoutVars>
      </dgm:prSet>
      <dgm:spPr/>
    </dgm:pt>
    <dgm:pt modelId="{3EF53540-758A-48E4-8BFD-DD9D24386371}" type="pres">
      <dgm:prSet presAssocID="{88DDB816-2F03-4DFC-9C1D-DD6B7459D281}" presName="node" presStyleLbl="vennNode1" presStyleIdx="3" presStyleCnt="6" custScaleX="149206" custRadScaleRad="107881" custRadScaleInc="-7123">
        <dgm:presLayoutVars>
          <dgm:bulletEnabled val="1"/>
        </dgm:presLayoutVars>
      </dgm:prSet>
      <dgm:spPr/>
    </dgm:pt>
    <dgm:pt modelId="{3886CB94-FFC8-4F2C-B30F-12A6FB441B8D}" type="pres">
      <dgm:prSet presAssocID="{533AE6A6-CC92-4737-9039-A9CA09CE5057}" presName="node" presStyleLbl="vennNode1" presStyleIdx="4" presStyleCnt="6" custScaleX="149206" custRadScaleRad="114223" custRadScaleInc="12014">
        <dgm:presLayoutVars>
          <dgm:bulletEnabled val="1"/>
        </dgm:presLayoutVars>
      </dgm:prSet>
      <dgm:spPr/>
    </dgm:pt>
    <dgm:pt modelId="{6651E1C2-97C4-4209-82DF-9DB3D2B39953}" type="pres">
      <dgm:prSet presAssocID="{278904C6-A879-435E-9C6B-68E33A4CC021}" presName="node" presStyleLbl="vennNode1" presStyleIdx="5" presStyleCnt="6" custScaleX="152381">
        <dgm:presLayoutVars>
          <dgm:bulletEnabled val="1"/>
        </dgm:presLayoutVars>
      </dgm:prSet>
      <dgm:spPr/>
    </dgm:pt>
  </dgm:ptLst>
  <dgm:cxnLst>
    <dgm:cxn modelId="{3D958D0F-8A76-4939-871C-6E7EE34CD4B4}" type="presOf" srcId="{CEFAC551-0501-430F-A24D-BAC21F0E6C82}" destId="{E68BB938-48CB-4CA0-BD4D-F66E54F8D9BE}" srcOrd="0" destOrd="0" presId="urn:microsoft.com/office/officeart/2005/8/layout/radial3"/>
    <dgm:cxn modelId="{27245215-3B24-4357-BBA8-386F49A6814A}" srcId="{64BAC7D4-F567-4AF7-BD39-400A0B0773B2}" destId="{88DDB816-2F03-4DFC-9C1D-DD6B7459D281}" srcOrd="2" destOrd="0" parTransId="{63AF850A-4EE1-4584-BA74-1B8B5F9AA98F}" sibTransId="{CC539DF2-EB24-4A0A-BF39-98CBB5509CFC}"/>
    <dgm:cxn modelId="{1D8C5D17-CAD3-4313-B5E9-BBFE21CDF59C}" srcId="{64BAC7D4-F567-4AF7-BD39-400A0B0773B2}" destId="{822044AD-582D-43B0-9F2F-7084B4959CAA}" srcOrd="1" destOrd="0" parTransId="{30A5770C-3DAC-48E4-8529-BB7A76A71FE0}" sibTransId="{EBF30FF8-A59A-4EDE-ACA2-31CD7B63EDF0}"/>
    <dgm:cxn modelId="{0104441B-50B7-494C-B6B6-29D16250999A}" type="presOf" srcId="{07F0EDD3-F505-4F1C-A3C3-679909A0B2AB}" destId="{922440F9-D145-4643-9CBD-DEE2B6E2FBE9}" srcOrd="0" destOrd="0" presId="urn:microsoft.com/office/officeart/2005/8/layout/radial3"/>
    <dgm:cxn modelId="{F2689821-8A2B-4071-BAA9-64F597B8BC61}" type="presOf" srcId="{64BAC7D4-F567-4AF7-BD39-400A0B0773B2}" destId="{2D3D5282-313A-4EAB-BD4A-88C00C55CCEE}" srcOrd="0" destOrd="0" presId="urn:microsoft.com/office/officeart/2005/8/layout/radial3"/>
    <dgm:cxn modelId="{97926B26-0F6A-4831-B98D-E9E4BDC078EE}" srcId="{64BAC7D4-F567-4AF7-BD39-400A0B0773B2}" destId="{CEFAC551-0501-430F-A24D-BAC21F0E6C82}" srcOrd="0" destOrd="0" parTransId="{6EDC6693-C9F5-4C69-AC82-4859E4DBC296}" sibTransId="{878C9D4B-883C-4620-8BF4-E0B54DAD85D0}"/>
    <dgm:cxn modelId="{CD0FB85C-0E91-4D24-992A-D81BBE485AA3}" type="presOf" srcId="{533AE6A6-CC92-4737-9039-A9CA09CE5057}" destId="{3886CB94-FFC8-4F2C-B30F-12A6FB441B8D}" srcOrd="0" destOrd="0" presId="urn:microsoft.com/office/officeart/2005/8/layout/radial3"/>
    <dgm:cxn modelId="{A794F446-8C09-4044-B27C-C5309B243851}" srcId="{64BAC7D4-F567-4AF7-BD39-400A0B0773B2}" destId="{533AE6A6-CC92-4737-9039-A9CA09CE5057}" srcOrd="3" destOrd="0" parTransId="{034FF7D7-6843-4CE5-8A49-662E31726988}" sibTransId="{200ACCF5-2E49-46C0-B704-94A23C1B44D5}"/>
    <dgm:cxn modelId="{0B986174-01F2-4075-AFFA-E8FF63F30270}" type="presOf" srcId="{278904C6-A879-435E-9C6B-68E33A4CC021}" destId="{6651E1C2-97C4-4209-82DF-9DB3D2B39953}" srcOrd="0" destOrd="0" presId="urn:microsoft.com/office/officeart/2005/8/layout/radial3"/>
    <dgm:cxn modelId="{858084B9-EB25-4E9A-921A-184DB7ABC370}" srcId="{07F0EDD3-F505-4F1C-A3C3-679909A0B2AB}" destId="{64BAC7D4-F567-4AF7-BD39-400A0B0773B2}" srcOrd="0" destOrd="0" parTransId="{C6D11CE1-8881-431C-8054-9D408BAC8AF2}" sibTransId="{8B8D1453-7EC9-4098-B53B-0CEFD042125B}"/>
    <dgm:cxn modelId="{A99D90D5-F53A-4254-892B-63C2805E686C}" type="presOf" srcId="{822044AD-582D-43B0-9F2F-7084B4959CAA}" destId="{302B59CB-31A1-4ABC-8AA4-B82D70A8C433}" srcOrd="0" destOrd="0" presId="urn:microsoft.com/office/officeart/2005/8/layout/radial3"/>
    <dgm:cxn modelId="{2A6382DF-1D62-4E8E-BCE7-23C121FE586B}" type="presOf" srcId="{88DDB816-2F03-4DFC-9C1D-DD6B7459D281}" destId="{3EF53540-758A-48E4-8BFD-DD9D24386371}" srcOrd="0" destOrd="0" presId="urn:microsoft.com/office/officeart/2005/8/layout/radial3"/>
    <dgm:cxn modelId="{AD459FF5-6118-40A0-B412-028258BE8C20}" srcId="{64BAC7D4-F567-4AF7-BD39-400A0B0773B2}" destId="{278904C6-A879-435E-9C6B-68E33A4CC021}" srcOrd="4" destOrd="0" parTransId="{C612430E-7A78-41A4-A0A8-AAA1277F1958}" sibTransId="{233263E5-787C-4AFD-94E3-3D3A16C30825}"/>
    <dgm:cxn modelId="{A632CC96-732B-416B-BD17-D04E10F4F641}" type="presParOf" srcId="{922440F9-D145-4643-9CBD-DEE2B6E2FBE9}" destId="{F4E55764-2200-45E3-8BD7-47445B8B4513}" srcOrd="0" destOrd="0" presId="urn:microsoft.com/office/officeart/2005/8/layout/radial3"/>
    <dgm:cxn modelId="{7B58AE52-C8CB-40B6-8158-61884EF05862}" type="presParOf" srcId="{F4E55764-2200-45E3-8BD7-47445B8B4513}" destId="{2D3D5282-313A-4EAB-BD4A-88C00C55CCEE}" srcOrd="0" destOrd="0" presId="urn:microsoft.com/office/officeart/2005/8/layout/radial3"/>
    <dgm:cxn modelId="{376269B4-6483-49F2-803A-2C76808152B6}" type="presParOf" srcId="{F4E55764-2200-45E3-8BD7-47445B8B4513}" destId="{E68BB938-48CB-4CA0-BD4D-F66E54F8D9BE}" srcOrd="1" destOrd="0" presId="urn:microsoft.com/office/officeart/2005/8/layout/radial3"/>
    <dgm:cxn modelId="{3B348058-6DEA-4038-A5FF-FF4A5F511264}" type="presParOf" srcId="{F4E55764-2200-45E3-8BD7-47445B8B4513}" destId="{302B59CB-31A1-4ABC-8AA4-B82D70A8C433}" srcOrd="2" destOrd="0" presId="urn:microsoft.com/office/officeart/2005/8/layout/radial3"/>
    <dgm:cxn modelId="{F3C58AEF-5876-424D-8EA0-698C2D3FC2A9}" type="presParOf" srcId="{F4E55764-2200-45E3-8BD7-47445B8B4513}" destId="{3EF53540-758A-48E4-8BFD-DD9D24386371}" srcOrd="3" destOrd="0" presId="urn:microsoft.com/office/officeart/2005/8/layout/radial3"/>
    <dgm:cxn modelId="{E2A757D0-17B3-4657-AF8E-5BDDD527ACC3}" type="presParOf" srcId="{F4E55764-2200-45E3-8BD7-47445B8B4513}" destId="{3886CB94-FFC8-4F2C-B30F-12A6FB441B8D}" srcOrd="4" destOrd="0" presId="urn:microsoft.com/office/officeart/2005/8/layout/radial3"/>
    <dgm:cxn modelId="{8AA5DF7A-7683-4E1D-B1DE-91944D51C7EB}" type="presParOf" srcId="{F4E55764-2200-45E3-8BD7-47445B8B4513}" destId="{6651E1C2-97C4-4209-82DF-9DB3D2B39953}" srcOrd="5" destOrd="0" presId="urn:microsoft.com/office/officeart/2005/8/layout/radial3"/>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3D5282-313A-4EAB-BD4A-88C00C55CCEE}">
      <dsp:nvSpPr>
        <dsp:cNvPr id="0" name=""/>
        <dsp:cNvSpPr/>
      </dsp:nvSpPr>
      <dsp:spPr>
        <a:xfrm>
          <a:off x="1844979" y="978321"/>
          <a:ext cx="2267831" cy="2267831"/>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Служба безопасности</a:t>
          </a:r>
        </a:p>
      </dsp:txBody>
      <dsp:txXfrm>
        <a:off x="2177095" y="1310437"/>
        <a:ext cx="1603599" cy="1603599"/>
      </dsp:txXfrm>
    </dsp:sp>
    <dsp:sp modelId="{E68BB938-48CB-4CA0-BD4D-F66E54F8D9BE}">
      <dsp:nvSpPr>
        <dsp:cNvPr id="0" name=""/>
        <dsp:cNvSpPr/>
      </dsp:nvSpPr>
      <dsp:spPr>
        <a:xfrm>
          <a:off x="2132960" y="69967"/>
          <a:ext cx="1691870" cy="1133915"/>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Подразделения снабжения</a:t>
          </a:r>
        </a:p>
      </dsp:txBody>
      <dsp:txXfrm>
        <a:off x="2380729" y="236025"/>
        <a:ext cx="1196332" cy="801799"/>
      </dsp:txXfrm>
    </dsp:sp>
    <dsp:sp modelId="{302B59CB-31A1-4ABC-8AA4-B82D70A8C433}">
      <dsp:nvSpPr>
        <dsp:cNvPr id="0" name=""/>
        <dsp:cNvSpPr/>
      </dsp:nvSpPr>
      <dsp:spPr>
        <a:xfrm>
          <a:off x="3536064" y="1089383"/>
          <a:ext cx="1691870" cy="1133915"/>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Подразделения  сбыта</a:t>
          </a:r>
        </a:p>
      </dsp:txBody>
      <dsp:txXfrm>
        <a:off x="3783833" y="1255441"/>
        <a:ext cx="1196332" cy="801799"/>
      </dsp:txXfrm>
    </dsp:sp>
    <dsp:sp modelId="{3EF53540-758A-48E4-8BFD-DD9D24386371}">
      <dsp:nvSpPr>
        <dsp:cNvPr id="0" name=""/>
        <dsp:cNvSpPr/>
      </dsp:nvSpPr>
      <dsp:spPr>
        <a:xfrm>
          <a:off x="3179823" y="2744114"/>
          <a:ext cx="1691870" cy="1133915"/>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Финансово-экономические подразделения</a:t>
          </a:r>
        </a:p>
      </dsp:txBody>
      <dsp:txXfrm>
        <a:off x="3427592" y="2910172"/>
        <a:ext cx="1196332" cy="801799"/>
      </dsp:txXfrm>
    </dsp:sp>
    <dsp:sp modelId="{3886CB94-FFC8-4F2C-B30F-12A6FB441B8D}">
      <dsp:nvSpPr>
        <dsp:cNvPr id="0" name=""/>
        <dsp:cNvSpPr/>
      </dsp:nvSpPr>
      <dsp:spPr>
        <a:xfrm>
          <a:off x="948682" y="2744111"/>
          <a:ext cx="1691870" cy="1133915"/>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Юриспруденция</a:t>
          </a:r>
        </a:p>
      </dsp:txBody>
      <dsp:txXfrm>
        <a:off x="1196451" y="2910169"/>
        <a:ext cx="1196332" cy="801799"/>
      </dsp:txXfrm>
    </dsp:sp>
    <dsp:sp modelId="{6651E1C2-97C4-4209-82DF-9DB3D2B39953}">
      <dsp:nvSpPr>
        <dsp:cNvPr id="0" name=""/>
        <dsp:cNvSpPr/>
      </dsp:nvSpPr>
      <dsp:spPr>
        <a:xfrm>
          <a:off x="711854" y="1089383"/>
          <a:ext cx="1727871" cy="1133915"/>
        </a:xfrm>
        <a:prstGeom prst="ellipse">
          <a:avLst/>
        </a:prstGeom>
        <a:solidFill>
          <a:schemeClr val="lt1">
            <a:alpha val="5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Производственно-технические подраздедения</a:t>
          </a:r>
        </a:p>
      </dsp:txBody>
      <dsp:txXfrm>
        <a:off x="964895" y="1255441"/>
        <a:ext cx="1221789" cy="801799"/>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2684</Words>
  <Characters>15302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 Мадатов</dc:creator>
  <cp:keywords/>
  <dc:description/>
  <cp:lastModifiedBy>Яков Мадатов</cp:lastModifiedBy>
  <cp:revision>3</cp:revision>
  <dcterms:created xsi:type="dcterms:W3CDTF">2025-09-30T11:40:00Z</dcterms:created>
  <dcterms:modified xsi:type="dcterms:W3CDTF">2025-09-30T11:44:00Z</dcterms:modified>
</cp:coreProperties>
</file>